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1E0" w:firstRow="1" w:lastRow="1" w:firstColumn="1" w:lastColumn="1" w:noHBand="0" w:noVBand="0"/>
      </w:tblPr>
      <w:tblGrid>
        <w:gridCol w:w="4349"/>
        <w:gridCol w:w="6462"/>
        <w:gridCol w:w="2139"/>
      </w:tblGrid>
      <w:tr w:rsidR="00E5200D" w:rsidRPr="00A44D6D" w:rsidTr="007F6C75">
        <w:tc>
          <w:tcPr>
            <w:tcW w:w="5000" w:type="pct"/>
            <w:gridSpan w:val="3"/>
            <w:tcBorders>
              <w:bottom w:val="single" w:sz="4" w:space="0" w:color="auto"/>
            </w:tcBorders>
            <w:shd w:val="clear" w:color="auto" w:fill="BFBFBF" w:themeFill="background1" w:themeFillShade="BF"/>
          </w:tcPr>
          <w:p w:rsidR="00E5200D" w:rsidRPr="00A44D6D" w:rsidRDefault="00E5200D" w:rsidP="00677C49">
            <w:pPr>
              <w:rPr>
                <w:rFonts w:ascii="Garamond" w:hAnsi="Garamond"/>
                <w:sz w:val="22"/>
                <w:szCs w:val="22"/>
              </w:rPr>
            </w:pPr>
            <w:r w:rsidRPr="00A44D6D">
              <w:rPr>
                <w:rFonts w:ascii="Garamond" w:hAnsi="Garamond"/>
                <w:b/>
                <w:sz w:val="22"/>
                <w:szCs w:val="22"/>
              </w:rPr>
              <w:t>GOAL 1:</w:t>
            </w:r>
            <w:r w:rsidRPr="00A44D6D">
              <w:rPr>
                <w:rFonts w:ascii="Garamond" w:hAnsi="Garamond"/>
                <w:sz w:val="22"/>
                <w:szCs w:val="22"/>
              </w:rPr>
              <w:t xml:space="preserve">  </w:t>
            </w:r>
            <w:r w:rsidRPr="00A44D6D">
              <w:rPr>
                <w:rFonts w:ascii="Garamond" w:hAnsi="Garamond" w:cs="Arial"/>
                <w:sz w:val="22"/>
                <w:szCs w:val="22"/>
              </w:rPr>
              <w:t>Prepare up to 200 interdisciplinary students over five years with knowledge and skills to improve the education and postsecondary outcomes for children, youth, and adults with disabilities, and to respond to the needs and preferences of people with disabilities and their families.</w:t>
            </w:r>
          </w:p>
        </w:tc>
      </w:tr>
      <w:tr w:rsidR="00E5200D" w:rsidRPr="00A44D6D" w:rsidTr="007F6C75">
        <w:tc>
          <w:tcPr>
            <w:tcW w:w="5000" w:type="pct"/>
            <w:gridSpan w:val="3"/>
            <w:shd w:val="clear" w:color="auto" w:fill="D9D9D9" w:themeFill="background1" w:themeFillShade="D9"/>
          </w:tcPr>
          <w:p w:rsidR="00E5200D" w:rsidRPr="00A44D6D" w:rsidRDefault="00E5200D" w:rsidP="00677C49">
            <w:pPr>
              <w:rPr>
                <w:rFonts w:ascii="Garamond" w:hAnsi="Garamond"/>
                <w:b/>
                <w:i/>
                <w:sz w:val="22"/>
                <w:szCs w:val="22"/>
              </w:rPr>
            </w:pPr>
            <w:r w:rsidRPr="00A44D6D">
              <w:rPr>
                <w:rFonts w:ascii="Garamond" w:hAnsi="Garamond"/>
                <w:b/>
                <w:sz w:val="22"/>
                <w:szCs w:val="22"/>
              </w:rPr>
              <w:t>Core Function: Interdisciplinary Pre-service Preparation and Continuing Education</w:t>
            </w:r>
            <w:r w:rsidRPr="00A44D6D">
              <w:rPr>
                <w:rFonts w:ascii="Garamond" w:hAnsi="Garamond"/>
                <w:b/>
                <w:i/>
                <w:sz w:val="22"/>
                <w:szCs w:val="22"/>
              </w:rPr>
              <w:t xml:space="preserve"> </w:t>
            </w:r>
          </w:p>
          <w:p w:rsidR="00E5200D" w:rsidRPr="00A44D6D" w:rsidRDefault="00E5200D" w:rsidP="00677C49">
            <w:pPr>
              <w:rPr>
                <w:rFonts w:ascii="Garamond" w:hAnsi="Garamond"/>
                <w:sz w:val="22"/>
                <w:szCs w:val="22"/>
              </w:rPr>
            </w:pPr>
            <w:r w:rsidRPr="00A44D6D">
              <w:rPr>
                <w:rFonts w:ascii="Garamond" w:hAnsi="Garamond"/>
                <w:b/>
                <w:sz w:val="22"/>
                <w:szCs w:val="22"/>
              </w:rPr>
              <w:t xml:space="preserve">Area of Emphasis: </w:t>
            </w:r>
            <w:r w:rsidRPr="00A44D6D">
              <w:rPr>
                <w:rFonts w:ascii="Garamond" w:hAnsi="Garamond" w:cs="Arial"/>
                <w:sz w:val="22"/>
                <w:szCs w:val="22"/>
              </w:rPr>
              <w:t>Education and Early Intervention, Child Care, Quality Assurance, Health, Employment, and other- Quality of Life and Assistive Technology</w:t>
            </w:r>
          </w:p>
        </w:tc>
      </w:tr>
      <w:tr w:rsidR="00E5200D" w:rsidRPr="00A44D6D" w:rsidTr="007F6C75">
        <w:trPr>
          <w:trHeight w:val="242"/>
        </w:trPr>
        <w:tc>
          <w:tcPr>
            <w:tcW w:w="5000" w:type="pct"/>
            <w:gridSpan w:val="3"/>
            <w:tcBorders>
              <w:bottom w:val="single" w:sz="4" w:space="0" w:color="auto"/>
            </w:tcBorders>
          </w:tcPr>
          <w:p w:rsidR="00E5200D" w:rsidRPr="00A44D6D" w:rsidRDefault="00E5200D" w:rsidP="00677C49">
            <w:pPr>
              <w:rPr>
                <w:rFonts w:ascii="Garamond" w:hAnsi="Garamond"/>
                <w:sz w:val="22"/>
                <w:szCs w:val="22"/>
              </w:rPr>
            </w:pPr>
            <w:r w:rsidRPr="00A44D6D">
              <w:rPr>
                <w:rFonts w:ascii="Garamond" w:hAnsi="Garamond"/>
                <w:b/>
                <w:sz w:val="22"/>
                <w:szCs w:val="22"/>
              </w:rPr>
              <w:t xml:space="preserve">Type of Activity:  </w:t>
            </w:r>
            <w:r w:rsidRPr="00A44D6D">
              <w:rPr>
                <w:rFonts w:ascii="Garamond" w:hAnsi="Garamond"/>
                <w:sz w:val="22"/>
                <w:szCs w:val="22"/>
              </w:rPr>
              <w:t>Capacity Building</w:t>
            </w:r>
          </w:p>
        </w:tc>
      </w:tr>
      <w:tr w:rsidR="00AC6B62" w:rsidRPr="00A44D6D" w:rsidTr="0039072E">
        <w:tc>
          <w:tcPr>
            <w:tcW w:w="1679" w:type="pct"/>
            <w:shd w:val="clear" w:color="auto" w:fill="FFFFDD"/>
          </w:tcPr>
          <w:p w:rsidR="00AC6B62" w:rsidRPr="00A44D6D" w:rsidRDefault="00AC6B62" w:rsidP="00677C49">
            <w:pPr>
              <w:jc w:val="center"/>
              <w:rPr>
                <w:rFonts w:ascii="Garamond" w:hAnsi="Garamond"/>
                <w:b/>
                <w:sz w:val="22"/>
                <w:szCs w:val="22"/>
              </w:rPr>
            </w:pPr>
            <w:r w:rsidRPr="00A44D6D">
              <w:rPr>
                <w:rFonts w:ascii="Garamond" w:hAnsi="Garamond"/>
                <w:b/>
                <w:sz w:val="22"/>
                <w:szCs w:val="22"/>
              </w:rPr>
              <w:t>Objectives (Annual Measures)</w:t>
            </w:r>
          </w:p>
        </w:tc>
        <w:tc>
          <w:tcPr>
            <w:tcW w:w="2495" w:type="pct"/>
            <w:shd w:val="clear" w:color="auto" w:fill="FFFFDD"/>
          </w:tcPr>
          <w:p w:rsidR="00AC6B62" w:rsidRPr="00A44D6D" w:rsidRDefault="00AC6B62" w:rsidP="00862CED">
            <w:pPr>
              <w:jc w:val="center"/>
              <w:rPr>
                <w:rFonts w:ascii="Garamond" w:hAnsi="Garamond"/>
                <w:b/>
                <w:sz w:val="22"/>
                <w:szCs w:val="22"/>
              </w:rPr>
            </w:pPr>
            <w:r w:rsidRPr="00A44D6D">
              <w:rPr>
                <w:rFonts w:ascii="Garamond" w:hAnsi="Garamond"/>
                <w:b/>
                <w:sz w:val="22"/>
                <w:szCs w:val="22"/>
              </w:rPr>
              <w:t xml:space="preserve">Major </w:t>
            </w:r>
            <w:r w:rsidR="00862CED">
              <w:rPr>
                <w:rFonts w:ascii="Garamond" w:hAnsi="Garamond"/>
                <w:b/>
                <w:sz w:val="22"/>
                <w:szCs w:val="22"/>
              </w:rPr>
              <w:t>Accomplishments</w:t>
            </w:r>
          </w:p>
        </w:tc>
        <w:tc>
          <w:tcPr>
            <w:tcW w:w="826" w:type="pct"/>
            <w:shd w:val="clear" w:color="auto" w:fill="FFFFDD"/>
          </w:tcPr>
          <w:p w:rsidR="00AC6B62" w:rsidRPr="00A44D6D" w:rsidRDefault="006C291C" w:rsidP="005F5355">
            <w:pPr>
              <w:jc w:val="center"/>
              <w:rPr>
                <w:rFonts w:ascii="Garamond" w:hAnsi="Garamond"/>
                <w:b/>
                <w:sz w:val="22"/>
                <w:szCs w:val="22"/>
              </w:rPr>
            </w:pPr>
            <w:r w:rsidRPr="00A44D6D">
              <w:rPr>
                <w:rFonts w:ascii="Garamond" w:hAnsi="Garamond"/>
                <w:b/>
                <w:sz w:val="22"/>
                <w:szCs w:val="22"/>
              </w:rPr>
              <w:t>FY 201</w:t>
            </w:r>
            <w:r w:rsidR="005F5355">
              <w:rPr>
                <w:rFonts w:ascii="Garamond" w:hAnsi="Garamond"/>
                <w:b/>
                <w:sz w:val="22"/>
                <w:szCs w:val="22"/>
              </w:rPr>
              <w:t>5</w:t>
            </w:r>
            <w:r w:rsidR="00AC6B62" w:rsidRPr="00A44D6D">
              <w:rPr>
                <w:rFonts w:ascii="Garamond" w:hAnsi="Garamond"/>
                <w:b/>
                <w:sz w:val="22"/>
                <w:szCs w:val="22"/>
              </w:rPr>
              <w:t xml:space="preserve"> Annual</w:t>
            </w:r>
            <w:r w:rsidR="00BD70A5" w:rsidRPr="00A44D6D">
              <w:rPr>
                <w:rFonts w:ascii="Garamond" w:hAnsi="Garamond"/>
                <w:b/>
                <w:sz w:val="22"/>
                <w:szCs w:val="22"/>
              </w:rPr>
              <w:t xml:space="preserve"> </w:t>
            </w:r>
            <w:r w:rsidR="00AC6B62" w:rsidRPr="00A44D6D">
              <w:rPr>
                <w:rFonts w:ascii="Garamond" w:hAnsi="Garamond"/>
                <w:b/>
                <w:sz w:val="22"/>
                <w:szCs w:val="22"/>
              </w:rPr>
              <w:t>Progress Data</w:t>
            </w:r>
          </w:p>
        </w:tc>
      </w:tr>
      <w:tr w:rsidR="00AC6B62" w:rsidRPr="00A44D6D" w:rsidTr="0039072E">
        <w:tc>
          <w:tcPr>
            <w:tcW w:w="1679" w:type="pct"/>
          </w:tcPr>
          <w:p w:rsidR="00AC6B62" w:rsidRPr="00A44D6D" w:rsidRDefault="00AC6B62" w:rsidP="00677C49">
            <w:pPr>
              <w:rPr>
                <w:rFonts w:ascii="Garamond" w:hAnsi="Garamond" w:cs="Arial"/>
                <w:sz w:val="22"/>
                <w:szCs w:val="22"/>
              </w:rPr>
            </w:pPr>
            <w:r w:rsidRPr="00A44D6D">
              <w:rPr>
                <w:rFonts w:ascii="Garamond" w:hAnsi="Garamond"/>
                <w:b/>
                <w:sz w:val="22"/>
                <w:szCs w:val="22"/>
              </w:rPr>
              <w:t>Obj</w:t>
            </w:r>
            <w:r w:rsidR="00380F88" w:rsidRPr="00A44D6D">
              <w:rPr>
                <w:rFonts w:ascii="Garamond" w:hAnsi="Garamond"/>
                <w:b/>
                <w:sz w:val="22"/>
                <w:szCs w:val="22"/>
              </w:rPr>
              <w:t>.</w:t>
            </w:r>
            <w:r w:rsidRPr="00A44D6D">
              <w:rPr>
                <w:rFonts w:ascii="Garamond" w:hAnsi="Garamond"/>
                <w:b/>
                <w:sz w:val="22"/>
                <w:szCs w:val="22"/>
              </w:rPr>
              <w:t xml:space="preserve"> 1.1 </w:t>
            </w:r>
            <w:r w:rsidR="0039072E">
              <w:rPr>
                <w:rFonts w:ascii="Garamond" w:hAnsi="Garamond" w:cs="Arial"/>
                <w:sz w:val="22"/>
                <w:szCs w:val="22"/>
              </w:rPr>
              <w:t xml:space="preserve">Provide </w:t>
            </w:r>
            <w:r w:rsidR="00D86463" w:rsidRPr="00A44D6D">
              <w:rPr>
                <w:rFonts w:ascii="Garamond" w:hAnsi="Garamond" w:cs="Arial"/>
                <w:sz w:val="22"/>
                <w:szCs w:val="22"/>
              </w:rPr>
              <w:t>M</w:t>
            </w:r>
            <w:r w:rsidRPr="00A44D6D">
              <w:rPr>
                <w:rFonts w:ascii="Garamond" w:hAnsi="Garamond" w:cs="Arial"/>
                <w:sz w:val="22"/>
                <w:szCs w:val="22"/>
              </w:rPr>
              <w:t xml:space="preserve">asters and </w:t>
            </w:r>
            <w:r w:rsidR="00D86463" w:rsidRPr="00A44D6D">
              <w:rPr>
                <w:rFonts w:ascii="Garamond" w:hAnsi="Garamond" w:cs="Arial"/>
                <w:sz w:val="22"/>
                <w:szCs w:val="22"/>
              </w:rPr>
              <w:t>D</w:t>
            </w:r>
            <w:r w:rsidRPr="00A44D6D">
              <w:rPr>
                <w:rFonts w:ascii="Garamond" w:hAnsi="Garamond" w:cs="Arial"/>
                <w:sz w:val="22"/>
                <w:szCs w:val="22"/>
              </w:rPr>
              <w:t>octoral program</w:t>
            </w:r>
            <w:r w:rsidR="0039072E">
              <w:rPr>
                <w:rFonts w:ascii="Garamond" w:hAnsi="Garamond" w:cs="Arial"/>
                <w:sz w:val="22"/>
                <w:szCs w:val="22"/>
              </w:rPr>
              <w:t>s</w:t>
            </w:r>
            <w:r w:rsidRPr="00A44D6D">
              <w:rPr>
                <w:rFonts w:ascii="Garamond" w:hAnsi="Garamond" w:cs="Arial"/>
                <w:sz w:val="22"/>
                <w:szCs w:val="22"/>
              </w:rPr>
              <w:t xml:space="preserve"> with emphasis in Autism and other Neurodevelopmental Disabilities enrolling at least three additional students annually.</w:t>
            </w:r>
          </w:p>
          <w:p w:rsidR="00AC6B62" w:rsidRPr="00A44D6D" w:rsidRDefault="00AC6B62" w:rsidP="00677C49">
            <w:pPr>
              <w:rPr>
                <w:rFonts w:ascii="Garamond" w:hAnsi="Garamond"/>
                <w:b/>
                <w:sz w:val="22"/>
                <w:szCs w:val="22"/>
              </w:rPr>
            </w:pPr>
          </w:p>
        </w:tc>
        <w:tc>
          <w:tcPr>
            <w:tcW w:w="2495" w:type="pct"/>
          </w:tcPr>
          <w:p w:rsidR="00AC6B62" w:rsidRPr="00862CED" w:rsidRDefault="00862CED" w:rsidP="00F004C5">
            <w:pPr>
              <w:rPr>
                <w:rFonts w:ascii="Garamond" w:hAnsi="Garamond"/>
                <w:sz w:val="22"/>
                <w:szCs w:val="22"/>
              </w:rPr>
            </w:pPr>
            <w:r>
              <w:rPr>
                <w:rFonts w:ascii="Garamond" w:hAnsi="Garamond"/>
                <w:sz w:val="22"/>
                <w:szCs w:val="22"/>
              </w:rPr>
              <w:t xml:space="preserve">The graduate programs are supported by the CDHD and the College of Education. Each </w:t>
            </w:r>
            <w:r w:rsidR="003E2837">
              <w:rPr>
                <w:rFonts w:ascii="Garamond" w:hAnsi="Garamond"/>
                <w:sz w:val="22"/>
                <w:szCs w:val="22"/>
              </w:rPr>
              <w:t xml:space="preserve">program </w:t>
            </w:r>
            <w:r>
              <w:rPr>
                <w:rFonts w:ascii="Garamond" w:hAnsi="Garamond"/>
                <w:sz w:val="22"/>
                <w:szCs w:val="22"/>
              </w:rPr>
              <w:t xml:space="preserve">is designed to </w:t>
            </w:r>
            <w:r w:rsidRPr="00862CED">
              <w:rPr>
                <w:rFonts w:ascii="Garamond" w:hAnsi="Garamond"/>
                <w:color w:val="000000"/>
                <w:sz w:val="22"/>
                <w:szCs w:val="22"/>
              </w:rPr>
              <w:t xml:space="preserve">prepare prospective university faculty and </w:t>
            </w:r>
            <w:r>
              <w:rPr>
                <w:rFonts w:ascii="Garamond" w:hAnsi="Garamond"/>
                <w:color w:val="000000"/>
                <w:sz w:val="22"/>
                <w:szCs w:val="22"/>
              </w:rPr>
              <w:t xml:space="preserve">educational </w:t>
            </w:r>
            <w:r w:rsidRPr="00862CED">
              <w:rPr>
                <w:rFonts w:ascii="Garamond" w:hAnsi="Garamond"/>
                <w:color w:val="000000"/>
                <w:sz w:val="22"/>
                <w:szCs w:val="22"/>
              </w:rPr>
              <w:t>leaders to teach, conduct and disseminate research, and secure funding for research in the ar</w:t>
            </w:r>
            <w:r w:rsidR="0039072E">
              <w:rPr>
                <w:rFonts w:ascii="Garamond" w:hAnsi="Garamond"/>
                <w:color w:val="000000"/>
                <w:sz w:val="22"/>
                <w:szCs w:val="22"/>
              </w:rPr>
              <w:t xml:space="preserve">ea of autism spectrum disorder </w:t>
            </w:r>
            <w:r w:rsidRPr="00862CED">
              <w:rPr>
                <w:rFonts w:ascii="Garamond" w:hAnsi="Garamond"/>
                <w:color w:val="000000"/>
                <w:sz w:val="22"/>
                <w:szCs w:val="22"/>
              </w:rPr>
              <w:t xml:space="preserve">and other neurodevelopmental disorders (ASD/RD). </w:t>
            </w:r>
            <w:r w:rsidRPr="00F3644E">
              <w:rPr>
                <w:rFonts w:ascii="Garamond" w:hAnsi="Garamond"/>
                <w:b/>
                <w:color w:val="000000"/>
                <w:sz w:val="22"/>
                <w:szCs w:val="22"/>
              </w:rPr>
              <w:t>Five students</w:t>
            </w:r>
            <w:r w:rsidRPr="00862CED">
              <w:rPr>
                <w:rFonts w:ascii="Garamond" w:hAnsi="Garamond"/>
                <w:color w:val="000000"/>
                <w:sz w:val="22"/>
                <w:szCs w:val="22"/>
              </w:rPr>
              <w:t xml:space="preserve"> are currently enrolled</w:t>
            </w:r>
            <w:r>
              <w:rPr>
                <w:rFonts w:ascii="Garamond" w:hAnsi="Garamond"/>
                <w:color w:val="000000"/>
                <w:sz w:val="22"/>
                <w:szCs w:val="22"/>
              </w:rPr>
              <w:t xml:space="preserve"> in the Ph.D. program and </w:t>
            </w:r>
            <w:r w:rsidRPr="00F3644E">
              <w:rPr>
                <w:rFonts w:ascii="Garamond" w:hAnsi="Garamond"/>
                <w:b/>
                <w:color w:val="000000"/>
                <w:sz w:val="22"/>
                <w:szCs w:val="22"/>
              </w:rPr>
              <w:t>two students</w:t>
            </w:r>
            <w:r>
              <w:rPr>
                <w:rFonts w:ascii="Garamond" w:hAnsi="Garamond"/>
                <w:color w:val="000000"/>
                <w:sz w:val="22"/>
                <w:szCs w:val="22"/>
              </w:rPr>
              <w:t xml:space="preserve"> will start the Masters program in fall 2015.</w:t>
            </w:r>
          </w:p>
        </w:tc>
        <w:tc>
          <w:tcPr>
            <w:tcW w:w="826" w:type="pct"/>
          </w:tcPr>
          <w:p w:rsidR="00AC6B62" w:rsidRDefault="00AC6B62" w:rsidP="00677C49">
            <w:pPr>
              <w:rPr>
                <w:rFonts w:ascii="Garamond" w:hAnsi="Garamond"/>
                <w:sz w:val="22"/>
                <w:szCs w:val="22"/>
              </w:rPr>
            </w:pPr>
            <w:r w:rsidRPr="00A44D6D">
              <w:rPr>
                <w:rFonts w:ascii="Garamond" w:hAnsi="Garamond"/>
                <w:sz w:val="22"/>
                <w:szCs w:val="22"/>
              </w:rPr>
              <w:sym w:font="Wingdings" w:char="F0A8"/>
            </w:r>
            <w:r w:rsidRPr="00A44D6D">
              <w:rPr>
                <w:rFonts w:ascii="Garamond" w:hAnsi="Garamond"/>
                <w:sz w:val="22"/>
                <w:szCs w:val="22"/>
              </w:rPr>
              <w:t xml:space="preserve"> Fully achieved</w:t>
            </w:r>
          </w:p>
          <w:p w:rsidR="0039072E" w:rsidRDefault="0039072E" w:rsidP="00677C49">
            <w:pPr>
              <w:rPr>
                <w:rFonts w:ascii="Garamond" w:hAnsi="Garamond"/>
                <w:sz w:val="22"/>
                <w:szCs w:val="22"/>
              </w:rPr>
            </w:pPr>
          </w:p>
          <w:p w:rsidR="0039072E" w:rsidRDefault="0039072E" w:rsidP="0039072E">
            <w:pPr>
              <w:rPr>
                <w:rFonts w:ascii="Garamond" w:hAnsi="Garamond"/>
                <w:b/>
                <w:sz w:val="22"/>
                <w:szCs w:val="22"/>
              </w:rPr>
            </w:pPr>
            <w:r w:rsidRPr="0039072E">
              <w:rPr>
                <w:rFonts w:ascii="Garamond" w:hAnsi="Garamond"/>
                <w:b/>
                <w:sz w:val="22"/>
                <w:szCs w:val="22"/>
              </w:rPr>
              <w:sym w:font="Wingdings" w:char="F0FE"/>
            </w:r>
            <w:r w:rsidRPr="0039072E">
              <w:rPr>
                <w:rFonts w:ascii="Garamond" w:hAnsi="Garamond"/>
                <w:b/>
                <w:sz w:val="22"/>
                <w:szCs w:val="22"/>
              </w:rPr>
              <w:t xml:space="preserve"> Partially achieved</w:t>
            </w:r>
          </w:p>
          <w:p w:rsidR="0039072E" w:rsidRPr="0039072E" w:rsidRDefault="0039072E" w:rsidP="0039072E">
            <w:pPr>
              <w:rPr>
                <w:rFonts w:ascii="Garamond" w:hAnsi="Garamond"/>
                <w:b/>
                <w:sz w:val="22"/>
                <w:szCs w:val="22"/>
              </w:rPr>
            </w:pPr>
          </w:p>
          <w:p w:rsidR="00AC6B62" w:rsidRPr="00A44D6D" w:rsidRDefault="00AC6B62" w:rsidP="00677C49">
            <w:pPr>
              <w:rPr>
                <w:rFonts w:ascii="Garamond" w:hAnsi="Garamond"/>
                <w:sz w:val="22"/>
                <w:szCs w:val="22"/>
              </w:rPr>
            </w:pPr>
            <w:r w:rsidRPr="00A44D6D">
              <w:rPr>
                <w:rFonts w:ascii="Garamond" w:hAnsi="Garamond"/>
                <w:sz w:val="22"/>
                <w:szCs w:val="22"/>
              </w:rPr>
              <w:sym w:font="Wingdings" w:char="F06F"/>
            </w:r>
            <w:r w:rsidRPr="00A44D6D">
              <w:rPr>
                <w:rFonts w:ascii="Garamond" w:hAnsi="Garamond"/>
                <w:sz w:val="22"/>
                <w:szCs w:val="22"/>
              </w:rPr>
              <w:t xml:space="preserve"> Not initiated yet</w:t>
            </w:r>
          </w:p>
          <w:p w:rsidR="00AC6B62" w:rsidRPr="00A44D6D" w:rsidRDefault="00AC6B62" w:rsidP="00D86463">
            <w:pPr>
              <w:rPr>
                <w:rFonts w:ascii="Garamond" w:hAnsi="Garamond"/>
                <w:sz w:val="22"/>
                <w:szCs w:val="22"/>
              </w:rPr>
            </w:pPr>
          </w:p>
          <w:p w:rsidR="00FB7CC6" w:rsidRPr="00A44D6D" w:rsidRDefault="00FB7CC6" w:rsidP="00D86463">
            <w:pPr>
              <w:rPr>
                <w:rFonts w:ascii="Garamond" w:hAnsi="Garamond"/>
                <w:b/>
                <w:sz w:val="22"/>
                <w:szCs w:val="22"/>
              </w:rPr>
            </w:pPr>
          </w:p>
        </w:tc>
      </w:tr>
      <w:tr w:rsidR="0039072E" w:rsidRPr="00A44D6D" w:rsidTr="0039072E">
        <w:tc>
          <w:tcPr>
            <w:tcW w:w="1679" w:type="pct"/>
          </w:tcPr>
          <w:p w:rsidR="0039072E" w:rsidRDefault="0039072E" w:rsidP="0039072E">
            <w:pPr>
              <w:rPr>
                <w:rFonts w:ascii="Garamond" w:hAnsi="Garamond" w:cs="Arial"/>
                <w:sz w:val="22"/>
                <w:szCs w:val="22"/>
              </w:rPr>
            </w:pPr>
            <w:r w:rsidRPr="00A44D6D">
              <w:rPr>
                <w:rFonts w:ascii="Garamond" w:hAnsi="Garamond"/>
                <w:b/>
                <w:sz w:val="22"/>
                <w:szCs w:val="22"/>
              </w:rPr>
              <w:t xml:space="preserve">Obj. 1.2  </w:t>
            </w:r>
            <w:r w:rsidRPr="00A44D6D">
              <w:rPr>
                <w:rFonts w:ascii="Garamond" w:hAnsi="Garamond" w:cs="Arial"/>
                <w:sz w:val="22"/>
                <w:szCs w:val="22"/>
              </w:rPr>
              <w:t xml:space="preserve">Recruit and train at least 50 long-term interdisciplinary trainees over five years to gain practical experience and training in the areas of early intervention, inclusive and post-secondary education, assistive technology and universal design, direct support, self-advocacy, disability studies and policy, employment, and  health and well-being. </w:t>
            </w:r>
          </w:p>
          <w:p w:rsidR="0039072E" w:rsidRPr="00A44D6D" w:rsidRDefault="0039072E" w:rsidP="0039072E">
            <w:pPr>
              <w:rPr>
                <w:rFonts w:ascii="Garamond" w:hAnsi="Garamond" w:cs="Arial"/>
                <w:sz w:val="22"/>
                <w:szCs w:val="22"/>
              </w:rPr>
            </w:pPr>
          </w:p>
          <w:p w:rsidR="0039072E" w:rsidRPr="00A44D6D" w:rsidRDefault="0039072E" w:rsidP="0039072E">
            <w:pPr>
              <w:rPr>
                <w:rFonts w:ascii="Garamond" w:hAnsi="Garamond" w:cs="Arial"/>
                <w:sz w:val="22"/>
                <w:szCs w:val="22"/>
              </w:rPr>
            </w:pPr>
            <w:r w:rsidRPr="00A44D6D">
              <w:rPr>
                <w:rFonts w:ascii="Garamond" w:hAnsi="Garamond" w:cs="Arial"/>
                <w:sz w:val="22"/>
                <w:szCs w:val="22"/>
              </w:rPr>
              <w:t>Approximately 3-5 trainees per year will participate in Utah Regional LEND.</w:t>
            </w:r>
          </w:p>
        </w:tc>
        <w:tc>
          <w:tcPr>
            <w:tcW w:w="2495" w:type="pct"/>
          </w:tcPr>
          <w:p w:rsidR="0039072E" w:rsidRDefault="0039072E" w:rsidP="0039072E">
            <w:pPr>
              <w:rPr>
                <w:rFonts w:ascii="Garamond" w:hAnsi="Garamond"/>
                <w:color w:val="000000"/>
                <w:sz w:val="22"/>
                <w:szCs w:val="22"/>
              </w:rPr>
            </w:pPr>
            <w:r>
              <w:rPr>
                <w:rFonts w:ascii="Garamond" w:hAnsi="Garamond"/>
                <w:color w:val="000000"/>
                <w:sz w:val="22"/>
                <w:szCs w:val="22"/>
              </w:rPr>
              <w:t xml:space="preserve">A total of </w:t>
            </w:r>
            <w:r w:rsidRPr="00B64BB7">
              <w:rPr>
                <w:rFonts w:ascii="Garamond" w:hAnsi="Garamond"/>
                <w:b/>
                <w:color w:val="000000"/>
                <w:sz w:val="22"/>
                <w:szCs w:val="22"/>
              </w:rPr>
              <w:t>six</w:t>
            </w:r>
            <w:r>
              <w:rPr>
                <w:rFonts w:ascii="Garamond" w:hAnsi="Garamond"/>
                <w:color w:val="000000"/>
                <w:sz w:val="22"/>
                <w:szCs w:val="22"/>
              </w:rPr>
              <w:t xml:space="preserve"> 2-hour trainings were provided in the 2014-2015 academic year with </w:t>
            </w:r>
            <w:r w:rsidRPr="00B64BB7">
              <w:rPr>
                <w:rFonts w:ascii="Garamond" w:hAnsi="Garamond"/>
                <w:b/>
                <w:color w:val="000000"/>
                <w:sz w:val="22"/>
                <w:szCs w:val="22"/>
              </w:rPr>
              <w:t>12 long-term</w:t>
            </w:r>
            <w:r>
              <w:rPr>
                <w:rFonts w:ascii="Garamond" w:hAnsi="Garamond"/>
                <w:color w:val="000000"/>
                <w:sz w:val="22"/>
                <w:szCs w:val="22"/>
              </w:rPr>
              <w:t xml:space="preserve"> undergraduate, interdisciplinary trainees. The training titles included:</w:t>
            </w:r>
            <w:r w:rsidRPr="00862CED">
              <w:rPr>
                <w:rFonts w:ascii="Garamond" w:hAnsi="Garamond"/>
                <w:color w:val="000000"/>
                <w:sz w:val="22"/>
                <w:szCs w:val="22"/>
              </w:rPr>
              <w:t xml:space="preserve"> 1)</w:t>
            </w:r>
            <w:r>
              <w:rPr>
                <w:rFonts w:ascii="Garamond" w:hAnsi="Garamond"/>
                <w:color w:val="000000"/>
                <w:sz w:val="22"/>
                <w:szCs w:val="22"/>
              </w:rPr>
              <w:t xml:space="preserve"> </w:t>
            </w:r>
            <w:r w:rsidRPr="00862CED">
              <w:rPr>
                <w:rFonts w:ascii="Garamond" w:hAnsi="Garamond"/>
                <w:color w:val="000000"/>
                <w:sz w:val="22"/>
                <w:szCs w:val="22"/>
              </w:rPr>
              <w:t>CDHD and DD Network Orientation, 2) Self-Advocacy</w:t>
            </w:r>
            <w:r>
              <w:rPr>
                <w:rFonts w:ascii="Garamond" w:hAnsi="Garamond"/>
                <w:color w:val="000000"/>
                <w:sz w:val="22"/>
                <w:szCs w:val="22"/>
              </w:rPr>
              <w:t>, 3) About the DD Council;</w:t>
            </w:r>
            <w:r>
              <w:rPr>
                <w:rFonts w:ascii="Calibri" w:hAnsi="Calibri"/>
                <w:color w:val="000000"/>
                <w:sz w:val="22"/>
                <w:szCs w:val="22"/>
              </w:rPr>
              <w:t xml:space="preserve"> </w:t>
            </w:r>
            <w:r>
              <w:rPr>
                <w:rFonts w:ascii="Garamond" w:hAnsi="Garamond"/>
                <w:color w:val="000000"/>
                <w:sz w:val="22"/>
                <w:szCs w:val="22"/>
              </w:rPr>
              <w:t>4</w:t>
            </w:r>
            <w:r w:rsidRPr="00862CED">
              <w:rPr>
                <w:rFonts w:ascii="Garamond" w:hAnsi="Garamond"/>
                <w:color w:val="000000"/>
                <w:sz w:val="22"/>
                <w:szCs w:val="22"/>
              </w:rPr>
              <w:t>)</w:t>
            </w:r>
            <w:r>
              <w:rPr>
                <w:rFonts w:ascii="Calibri" w:hAnsi="Calibri"/>
                <w:color w:val="000000"/>
                <w:sz w:val="22"/>
                <w:szCs w:val="22"/>
              </w:rPr>
              <w:t xml:space="preserve"> </w:t>
            </w:r>
            <w:r>
              <w:rPr>
                <w:rFonts w:ascii="Garamond" w:hAnsi="Garamond"/>
                <w:color w:val="000000"/>
                <w:sz w:val="22"/>
                <w:szCs w:val="22"/>
              </w:rPr>
              <w:t>History of DD, 5</w:t>
            </w:r>
            <w:r w:rsidRPr="00862CED">
              <w:rPr>
                <w:rFonts w:ascii="Garamond" w:hAnsi="Garamond"/>
                <w:color w:val="000000"/>
                <w:sz w:val="22"/>
                <w:szCs w:val="22"/>
              </w:rPr>
              <w:t>) Fostering Healthy Communication betw</w:t>
            </w:r>
            <w:r>
              <w:rPr>
                <w:rFonts w:ascii="Garamond" w:hAnsi="Garamond"/>
                <w:color w:val="000000"/>
                <w:sz w:val="22"/>
                <w:szCs w:val="22"/>
              </w:rPr>
              <w:t>een Professionals and Parents, and 6) Deinstitutionalization</w:t>
            </w:r>
            <w:r w:rsidRPr="00862CED">
              <w:rPr>
                <w:rFonts w:ascii="Garamond" w:hAnsi="Garamond"/>
                <w:color w:val="000000"/>
                <w:sz w:val="22"/>
                <w:szCs w:val="22"/>
              </w:rPr>
              <w:t xml:space="preserve">. </w:t>
            </w:r>
            <w:r>
              <w:rPr>
                <w:rFonts w:ascii="Garamond" w:hAnsi="Garamond"/>
                <w:color w:val="000000"/>
                <w:sz w:val="22"/>
                <w:szCs w:val="22"/>
              </w:rPr>
              <w:t>Each</w:t>
            </w:r>
            <w:r w:rsidRPr="00862CED">
              <w:rPr>
                <w:rFonts w:ascii="Garamond" w:hAnsi="Garamond"/>
                <w:color w:val="000000"/>
                <w:sz w:val="22"/>
                <w:szCs w:val="22"/>
              </w:rPr>
              <w:t xml:space="preserve"> trainee met with the Training Coordinator </w:t>
            </w:r>
            <w:r>
              <w:rPr>
                <w:rFonts w:ascii="Garamond" w:hAnsi="Garamond"/>
                <w:color w:val="000000"/>
                <w:sz w:val="22"/>
                <w:szCs w:val="22"/>
              </w:rPr>
              <w:t>six</w:t>
            </w:r>
            <w:r w:rsidRPr="00862CED">
              <w:rPr>
                <w:rFonts w:ascii="Garamond" w:hAnsi="Garamond"/>
                <w:color w:val="000000"/>
                <w:sz w:val="22"/>
                <w:szCs w:val="22"/>
              </w:rPr>
              <w:t xml:space="preserve"> times </w:t>
            </w:r>
            <w:r>
              <w:rPr>
                <w:rFonts w:ascii="Garamond" w:hAnsi="Garamond"/>
                <w:color w:val="000000"/>
                <w:sz w:val="22"/>
                <w:szCs w:val="22"/>
              </w:rPr>
              <w:t>throughout the year</w:t>
            </w:r>
            <w:r w:rsidRPr="00862CED">
              <w:rPr>
                <w:rFonts w:ascii="Garamond" w:hAnsi="Garamond"/>
                <w:color w:val="000000"/>
                <w:sz w:val="22"/>
                <w:szCs w:val="22"/>
              </w:rPr>
              <w:t xml:space="preserve"> </w:t>
            </w:r>
            <w:r>
              <w:rPr>
                <w:rFonts w:ascii="Garamond" w:hAnsi="Garamond"/>
                <w:color w:val="000000"/>
                <w:sz w:val="22"/>
                <w:szCs w:val="22"/>
              </w:rPr>
              <w:t xml:space="preserve">to create and review individual </w:t>
            </w:r>
            <w:r w:rsidRPr="00862CED">
              <w:rPr>
                <w:rFonts w:ascii="Garamond" w:hAnsi="Garamond"/>
                <w:color w:val="000000"/>
                <w:sz w:val="22"/>
                <w:szCs w:val="22"/>
              </w:rPr>
              <w:t xml:space="preserve">training </w:t>
            </w:r>
            <w:r>
              <w:rPr>
                <w:rFonts w:ascii="Garamond" w:hAnsi="Garamond"/>
                <w:color w:val="000000"/>
                <w:sz w:val="22"/>
                <w:szCs w:val="22"/>
              </w:rPr>
              <w:t>plans and progress</w:t>
            </w:r>
            <w:r w:rsidRPr="00862CED">
              <w:rPr>
                <w:rFonts w:ascii="Garamond" w:hAnsi="Garamond"/>
                <w:color w:val="000000"/>
                <w:sz w:val="22"/>
                <w:szCs w:val="22"/>
              </w:rPr>
              <w:t>.</w:t>
            </w:r>
            <w:r>
              <w:rPr>
                <w:rFonts w:ascii="Garamond" w:hAnsi="Garamond"/>
                <w:color w:val="000000"/>
                <w:sz w:val="22"/>
                <w:szCs w:val="22"/>
              </w:rPr>
              <w:t xml:space="preserve"> In addition, </w:t>
            </w:r>
            <w:r w:rsidRPr="00B64BB7">
              <w:rPr>
                <w:rFonts w:ascii="Garamond" w:hAnsi="Garamond"/>
                <w:color w:val="000000"/>
                <w:sz w:val="22"/>
                <w:szCs w:val="22"/>
              </w:rPr>
              <w:t xml:space="preserve">trainees participated </w:t>
            </w:r>
            <w:r>
              <w:rPr>
                <w:rFonts w:ascii="Garamond" w:hAnsi="Garamond"/>
                <w:color w:val="000000"/>
                <w:sz w:val="22"/>
                <w:szCs w:val="22"/>
              </w:rPr>
              <w:t>with the Self-Advocacy Leadership Network (SALN) film festival;</w:t>
            </w:r>
            <w:r w:rsidRPr="00B64BB7">
              <w:rPr>
                <w:rFonts w:ascii="Garamond" w:hAnsi="Garamond"/>
                <w:color w:val="000000"/>
                <w:sz w:val="22"/>
                <w:szCs w:val="22"/>
              </w:rPr>
              <w:t xml:space="preserve"> </w:t>
            </w:r>
            <w:r>
              <w:rPr>
                <w:rFonts w:ascii="Garamond" w:hAnsi="Garamond"/>
                <w:color w:val="000000"/>
                <w:sz w:val="22"/>
                <w:szCs w:val="22"/>
              </w:rPr>
              <w:t>a local art project directed by a trainee called “</w:t>
            </w:r>
            <w:r w:rsidRPr="00B64BB7">
              <w:rPr>
                <w:rFonts w:ascii="Garamond" w:hAnsi="Garamond"/>
                <w:color w:val="000000"/>
                <w:sz w:val="22"/>
                <w:szCs w:val="22"/>
              </w:rPr>
              <w:t>artAbility</w:t>
            </w:r>
            <w:r>
              <w:rPr>
                <w:rFonts w:ascii="Garamond" w:hAnsi="Garamond"/>
                <w:color w:val="000000"/>
                <w:sz w:val="22"/>
                <w:szCs w:val="22"/>
              </w:rPr>
              <w:t xml:space="preserve">”; </w:t>
            </w:r>
            <w:r w:rsidRPr="00B64BB7">
              <w:rPr>
                <w:rFonts w:ascii="Garamond" w:hAnsi="Garamond"/>
                <w:color w:val="000000"/>
                <w:sz w:val="22"/>
                <w:szCs w:val="22"/>
              </w:rPr>
              <w:t xml:space="preserve"> </w:t>
            </w:r>
            <w:r>
              <w:rPr>
                <w:rFonts w:ascii="Garamond" w:hAnsi="Garamond"/>
                <w:color w:val="000000"/>
                <w:sz w:val="22"/>
                <w:szCs w:val="22"/>
              </w:rPr>
              <w:t xml:space="preserve">a parent-based advocacy group </w:t>
            </w:r>
            <w:r w:rsidRPr="00B64BB7">
              <w:rPr>
                <w:rFonts w:ascii="Garamond" w:hAnsi="Garamond"/>
                <w:color w:val="000000"/>
                <w:sz w:val="22"/>
                <w:szCs w:val="22"/>
              </w:rPr>
              <w:t>in Boise</w:t>
            </w:r>
            <w:r>
              <w:rPr>
                <w:rFonts w:ascii="Garamond" w:hAnsi="Garamond"/>
                <w:color w:val="000000"/>
                <w:sz w:val="22"/>
                <w:szCs w:val="22"/>
              </w:rPr>
              <w:t>, Idaho (DAD)</w:t>
            </w:r>
            <w:r w:rsidRPr="00B64BB7">
              <w:rPr>
                <w:rFonts w:ascii="Garamond" w:hAnsi="Garamond"/>
                <w:color w:val="000000"/>
                <w:sz w:val="22"/>
                <w:szCs w:val="22"/>
              </w:rPr>
              <w:t xml:space="preserve">, </w:t>
            </w:r>
            <w:r>
              <w:rPr>
                <w:rFonts w:ascii="Garamond" w:hAnsi="Garamond"/>
                <w:color w:val="000000"/>
                <w:sz w:val="22"/>
                <w:szCs w:val="22"/>
              </w:rPr>
              <w:t>the annual state transition “</w:t>
            </w:r>
            <w:r w:rsidRPr="00B64BB7">
              <w:rPr>
                <w:rFonts w:ascii="Garamond" w:hAnsi="Garamond"/>
                <w:color w:val="000000"/>
                <w:sz w:val="22"/>
                <w:szCs w:val="22"/>
              </w:rPr>
              <w:t>Tools for Life</w:t>
            </w:r>
            <w:r>
              <w:rPr>
                <w:rFonts w:ascii="Garamond" w:hAnsi="Garamond"/>
                <w:color w:val="000000"/>
                <w:sz w:val="22"/>
                <w:szCs w:val="22"/>
              </w:rPr>
              <w:t>” conference;</w:t>
            </w:r>
            <w:r w:rsidRPr="00B64BB7">
              <w:rPr>
                <w:rFonts w:ascii="Garamond" w:hAnsi="Garamond"/>
                <w:color w:val="000000"/>
                <w:sz w:val="22"/>
                <w:szCs w:val="22"/>
              </w:rPr>
              <w:t xml:space="preserve"> and visited </w:t>
            </w:r>
            <w:r>
              <w:rPr>
                <w:rFonts w:ascii="Garamond" w:hAnsi="Garamond"/>
                <w:color w:val="000000"/>
                <w:sz w:val="22"/>
                <w:szCs w:val="22"/>
              </w:rPr>
              <w:t>a Boise based interdisciplinary clinic “</w:t>
            </w:r>
            <w:r w:rsidRPr="00B64BB7">
              <w:rPr>
                <w:rFonts w:ascii="Garamond" w:hAnsi="Garamond"/>
                <w:color w:val="000000"/>
                <w:sz w:val="22"/>
                <w:szCs w:val="22"/>
              </w:rPr>
              <w:t>Northwest Neurobehavioral Health</w:t>
            </w:r>
            <w:r>
              <w:rPr>
                <w:rFonts w:ascii="Garamond" w:hAnsi="Garamond"/>
                <w:color w:val="000000"/>
                <w:sz w:val="22"/>
                <w:szCs w:val="22"/>
              </w:rPr>
              <w:t>”</w:t>
            </w:r>
            <w:r w:rsidRPr="00B64BB7">
              <w:rPr>
                <w:rFonts w:ascii="Garamond" w:hAnsi="Garamond"/>
                <w:color w:val="000000"/>
                <w:sz w:val="22"/>
                <w:szCs w:val="22"/>
              </w:rPr>
              <w:t xml:space="preserve"> and the </w:t>
            </w:r>
            <w:r>
              <w:rPr>
                <w:rFonts w:ascii="Garamond" w:hAnsi="Garamond"/>
                <w:color w:val="000000"/>
                <w:sz w:val="22"/>
                <w:szCs w:val="22"/>
              </w:rPr>
              <w:t>Idaho State School and Hospital</w:t>
            </w:r>
            <w:r w:rsidRPr="00B64BB7">
              <w:rPr>
                <w:rFonts w:ascii="Garamond" w:hAnsi="Garamond"/>
                <w:color w:val="000000"/>
                <w:sz w:val="22"/>
                <w:szCs w:val="22"/>
              </w:rPr>
              <w:t xml:space="preserve">. </w:t>
            </w:r>
            <w:r w:rsidR="00645B16">
              <w:rPr>
                <w:rFonts w:ascii="Garamond" w:hAnsi="Garamond"/>
                <w:color w:val="000000"/>
                <w:sz w:val="22"/>
                <w:szCs w:val="22"/>
              </w:rPr>
              <w:t xml:space="preserve">Each Doctoral and Masters level student participating with CDHD faculty as major professors are also considered full-time trainees. Their individual program of study plans follow the required course sequence for each program. In total there were </w:t>
            </w:r>
            <w:r w:rsidR="00645B16" w:rsidRPr="00645B16">
              <w:rPr>
                <w:rFonts w:ascii="Garamond" w:hAnsi="Garamond"/>
                <w:b/>
                <w:color w:val="000000"/>
                <w:sz w:val="22"/>
                <w:szCs w:val="22"/>
              </w:rPr>
              <w:t>32 long-term trainees</w:t>
            </w:r>
            <w:r w:rsidR="00645B16">
              <w:rPr>
                <w:rFonts w:ascii="Garamond" w:hAnsi="Garamond"/>
                <w:color w:val="000000"/>
                <w:sz w:val="22"/>
                <w:szCs w:val="22"/>
              </w:rPr>
              <w:t xml:space="preserve"> in FY 2015. Thus, cumulatively over four years we have met the objective of serving 50 trainees in five years. </w:t>
            </w:r>
          </w:p>
          <w:p w:rsidR="0039072E" w:rsidRDefault="0039072E" w:rsidP="0039072E">
            <w:pPr>
              <w:rPr>
                <w:rFonts w:ascii="Garamond" w:hAnsi="Garamond"/>
                <w:color w:val="000000"/>
                <w:sz w:val="22"/>
                <w:szCs w:val="22"/>
              </w:rPr>
            </w:pPr>
          </w:p>
          <w:p w:rsidR="0039072E" w:rsidRPr="008C51F5" w:rsidRDefault="0039072E" w:rsidP="0039072E">
            <w:pPr>
              <w:rPr>
                <w:rFonts w:ascii="Garamond" w:hAnsi="Garamond"/>
                <w:color w:val="000000"/>
                <w:sz w:val="22"/>
                <w:szCs w:val="22"/>
              </w:rPr>
            </w:pPr>
            <w:r>
              <w:rPr>
                <w:rFonts w:ascii="Garamond" w:hAnsi="Garamond"/>
                <w:color w:val="000000"/>
                <w:sz w:val="22"/>
                <w:szCs w:val="22"/>
              </w:rPr>
              <w:t xml:space="preserve">Dr. </w:t>
            </w:r>
            <w:r w:rsidRPr="002978F7">
              <w:rPr>
                <w:rFonts w:ascii="Garamond" w:hAnsi="Garamond"/>
                <w:color w:val="000000"/>
                <w:sz w:val="22"/>
                <w:szCs w:val="22"/>
              </w:rPr>
              <w:t xml:space="preserve">Gwen Mitchell is the Idaho Site Coordinator for the URLEND program. She attends URLEND trainings, and trains trainees from each </w:t>
            </w:r>
            <w:r w:rsidRPr="002978F7">
              <w:rPr>
                <w:rFonts w:ascii="Garamond" w:hAnsi="Garamond"/>
                <w:color w:val="000000"/>
                <w:sz w:val="22"/>
                <w:szCs w:val="22"/>
              </w:rPr>
              <w:lastRenderedPageBreak/>
              <w:t xml:space="preserve">of five states represented in the URLEND network regarding expectations, syllabi, clinical visits, and research. She also supervises research, clinical, and didactic activities for trainees. There are </w:t>
            </w:r>
            <w:r w:rsidRPr="003E6554">
              <w:rPr>
                <w:rFonts w:ascii="Garamond" w:hAnsi="Garamond"/>
                <w:b/>
                <w:color w:val="000000"/>
                <w:sz w:val="22"/>
                <w:szCs w:val="22"/>
              </w:rPr>
              <w:t xml:space="preserve">40 URLEND trainees </w:t>
            </w:r>
            <w:r w:rsidRPr="002978F7">
              <w:rPr>
                <w:rFonts w:ascii="Garamond" w:hAnsi="Garamond"/>
                <w:color w:val="000000"/>
                <w:sz w:val="22"/>
                <w:szCs w:val="22"/>
              </w:rPr>
              <w:t xml:space="preserve">of which </w:t>
            </w:r>
            <w:r w:rsidRPr="003E6554">
              <w:rPr>
                <w:rFonts w:ascii="Garamond" w:hAnsi="Garamond"/>
                <w:b/>
                <w:color w:val="000000"/>
                <w:sz w:val="22"/>
                <w:szCs w:val="22"/>
              </w:rPr>
              <w:t>5 are from Idaho</w:t>
            </w:r>
            <w:r w:rsidRPr="002978F7">
              <w:rPr>
                <w:rFonts w:ascii="Garamond" w:hAnsi="Garamond"/>
                <w:color w:val="000000"/>
                <w:sz w:val="22"/>
                <w:szCs w:val="22"/>
              </w:rPr>
              <w:t>.</w:t>
            </w:r>
          </w:p>
        </w:tc>
        <w:tc>
          <w:tcPr>
            <w:tcW w:w="826" w:type="pct"/>
          </w:tcPr>
          <w:p w:rsidR="0039072E" w:rsidRPr="008C51F5" w:rsidRDefault="008C51F5" w:rsidP="008C51F5">
            <w:pPr>
              <w:pStyle w:val="Heading1"/>
            </w:pPr>
            <w:r w:rsidRPr="0039072E">
              <w:rPr>
                <w:sz w:val="22"/>
                <w:szCs w:val="22"/>
              </w:rPr>
              <w:lastRenderedPageBreak/>
              <w:sym w:font="Wingdings" w:char="F0FE"/>
            </w:r>
            <w:r>
              <w:rPr>
                <w:sz w:val="22"/>
                <w:szCs w:val="22"/>
              </w:rPr>
              <w:t xml:space="preserve"> </w:t>
            </w:r>
            <w:r w:rsidR="0039072E" w:rsidRPr="008C51F5">
              <w:t>Fully achieved</w:t>
            </w:r>
          </w:p>
          <w:p w:rsidR="0039072E" w:rsidRDefault="0039072E" w:rsidP="0039072E">
            <w:pPr>
              <w:rPr>
                <w:rFonts w:ascii="Garamond" w:hAnsi="Garamond"/>
                <w:sz w:val="22"/>
                <w:szCs w:val="22"/>
              </w:rPr>
            </w:pPr>
          </w:p>
          <w:p w:rsidR="0039072E" w:rsidRDefault="008C51F5" w:rsidP="0039072E">
            <w:pPr>
              <w:rPr>
                <w:rFonts w:ascii="Garamond" w:hAnsi="Garamond"/>
                <w:b/>
                <w:sz w:val="22"/>
                <w:szCs w:val="22"/>
              </w:rPr>
            </w:pPr>
            <w:r w:rsidRPr="00A44D6D">
              <w:rPr>
                <w:rFonts w:ascii="Garamond" w:hAnsi="Garamond"/>
                <w:sz w:val="22"/>
                <w:szCs w:val="22"/>
              </w:rPr>
              <w:sym w:font="Wingdings" w:char="F06F"/>
            </w:r>
            <w:r w:rsidR="0039072E" w:rsidRPr="0039072E">
              <w:rPr>
                <w:rFonts w:ascii="Garamond" w:hAnsi="Garamond"/>
                <w:b/>
                <w:sz w:val="22"/>
                <w:szCs w:val="22"/>
              </w:rPr>
              <w:t xml:space="preserve"> Partially achieved</w:t>
            </w:r>
          </w:p>
          <w:p w:rsidR="0039072E" w:rsidRPr="0039072E" w:rsidRDefault="0039072E" w:rsidP="0039072E">
            <w:pPr>
              <w:rPr>
                <w:rFonts w:ascii="Garamond" w:hAnsi="Garamond"/>
                <w:b/>
                <w:sz w:val="22"/>
                <w:szCs w:val="22"/>
              </w:rPr>
            </w:pPr>
          </w:p>
          <w:p w:rsidR="0039072E" w:rsidRPr="00A44D6D" w:rsidRDefault="0039072E" w:rsidP="0039072E">
            <w:pPr>
              <w:rPr>
                <w:rFonts w:ascii="Garamond" w:hAnsi="Garamond"/>
                <w:sz w:val="22"/>
                <w:szCs w:val="22"/>
              </w:rPr>
            </w:pPr>
            <w:r w:rsidRPr="00A44D6D">
              <w:rPr>
                <w:rFonts w:ascii="Garamond" w:hAnsi="Garamond"/>
                <w:sz w:val="22"/>
                <w:szCs w:val="22"/>
              </w:rPr>
              <w:sym w:font="Wingdings" w:char="F06F"/>
            </w:r>
            <w:r w:rsidRPr="00A44D6D">
              <w:rPr>
                <w:rFonts w:ascii="Garamond" w:hAnsi="Garamond"/>
                <w:sz w:val="22"/>
                <w:szCs w:val="22"/>
              </w:rPr>
              <w:t xml:space="preserve"> Not initiated yet</w:t>
            </w:r>
          </w:p>
          <w:p w:rsidR="0039072E" w:rsidRPr="00A44D6D" w:rsidRDefault="0039072E" w:rsidP="0039072E">
            <w:pPr>
              <w:rPr>
                <w:rFonts w:ascii="Garamond" w:hAnsi="Garamond"/>
                <w:sz w:val="22"/>
                <w:szCs w:val="22"/>
              </w:rPr>
            </w:pPr>
          </w:p>
          <w:p w:rsidR="0039072E" w:rsidRPr="00A44D6D" w:rsidRDefault="0039072E" w:rsidP="0039072E">
            <w:pPr>
              <w:rPr>
                <w:rFonts w:ascii="Garamond" w:hAnsi="Garamond"/>
                <w:b/>
                <w:sz w:val="22"/>
                <w:szCs w:val="22"/>
              </w:rPr>
            </w:pPr>
          </w:p>
        </w:tc>
      </w:tr>
      <w:tr w:rsidR="00AC6B62" w:rsidRPr="00A44D6D" w:rsidTr="0039072E">
        <w:tc>
          <w:tcPr>
            <w:tcW w:w="1679" w:type="pct"/>
          </w:tcPr>
          <w:p w:rsidR="00AC6B62" w:rsidRPr="00A44D6D" w:rsidRDefault="00AC6B62" w:rsidP="00677C49">
            <w:pPr>
              <w:rPr>
                <w:rFonts w:ascii="Garamond" w:hAnsi="Garamond" w:cs="Arial"/>
                <w:sz w:val="22"/>
                <w:szCs w:val="22"/>
              </w:rPr>
            </w:pPr>
            <w:r w:rsidRPr="00A44D6D">
              <w:rPr>
                <w:rFonts w:ascii="Garamond" w:hAnsi="Garamond"/>
                <w:b/>
                <w:sz w:val="22"/>
                <w:szCs w:val="22"/>
              </w:rPr>
              <w:lastRenderedPageBreak/>
              <w:t>Ob</w:t>
            </w:r>
            <w:r w:rsidR="00380F88" w:rsidRPr="00A44D6D">
              <w:rPr>
                <w:rFonts w:ascii="Garamond" w:hAnsi="Garamond"/>
                <w:b/>
                <w:sz w:val="22"/>
                <w:szCs w:val="22"/>
              </w:rPr>
              <w:t>j.</w:t>
            </w:r>
            <w:r w:rsidRPr="00A44D6D">
              <w:rPr>
                <w:rFonts w:ascii="Garamond" w:hAnsi="Garamond"/>
                <w:b/>
                <w:sz w:val="22"/>
                <w:szCs w:val="22"/>
              </w:rPr>
              <w:t xml:space="preserve"> 1.3 </w:t>
            </w:r>
            <w:r w:rsidRPr="00A44D6D">
              <w:rPr>
                <w:rFonts w:ascii="Garamond" w:hAnsi="Garamond" w:cs="Arial"/>
                <w:sz w:val="22"/>
                <w:szCs w:val="22"/>
              </w:rPr>
              <w:t>Offer at least 10 ongoing pre-service education courses and practica for 150 students annually that embed one or more areas of need including early intervention, inclusive and post-secondary education, assistive technology and universal design, direct support, self-advocacy, disability studies and policy, employment, and health and well-being.</w:t>
            </w:r>
          </w:p>
          <w:p w:rsidR="00AC6B62" w:rsidRPr="00A44D6D" w:rsidRDefault="00AC6B62" w:rsidP="00677C49">
            <w:pPr>
              <w:rPr>
                <w:rFonts w:ascii="Garamond" w:hAnsi="Garamond"/>
                <w:b/>
                <w:sz w:val="22"/>
                <w:szCs w:val="22"/>
              </w:rPr>
            </w:pPr>
          </w:p>
        </w:tc>
        <w:tc>
          <w:tcPr>
            <w:tcW w:w="2495" w:type="pct"/>
          </w:tcPr>
          <w:p w:rsidR="00AC6B62" w:rsidRDefault="003E6554" w:rsidP="00827DFF">
            <w:pPr>
              <w:numPr>
                <w:ilvl w:val="0"/>
                <w:numId w:val="3"/>
              </w:numPr>
              <w:rPr>
                <w:rFonts w:ascii="Garamond" w:hAnsi="Garamond"/>
                <w:sz w:val="22"/>
                <w:szCs w:val="22"/>
              </w:rPr>
            </w:pPr>
            <w:r>
              <w:rPr>
                <w:rFonts w:ascii="Garamond" w:hAnsi="Garamond"/>
                <w:sz w:val="22"/>
                <w:szCs w:val="22"/>
              </w:rPr>
              <w:t xml:space="preserve">A total of </w:t>
            </w:r>
            <w:r w:rsidRPr="003E6554">
              <w:rPr>
                <w:rFonts w:ascii="Garamond" w:hAnsi="Garamond"/>
                <w:b/>
                <w:sz w:val="22"/>
                <w:szCs w:val="22"/>
              </w:rPr>
              <w:t>27 preservice</w:t>
            </w:r>
            <w:r>
              <w:rPr>
                <w:rFonts w:ascii="Garamond" w:hAnsi="Garamond"/>
                <w:sz w:val="22"/>
                <w:szCs w:val="22"/>
              </w:rPr>
              <w:t xml:space="preserve"> </w:t>
            </w:r>
            <w:r w:rsidRPr="00C350D0">
              <w:rPr>
                <w:rFonts w:ascii="Garamond" w:hAnsi="Garamond"/>
                <w:b/>
                <w:sz w:val="22"/>
                <w:szCs w:val="22"/>
              </w:rPr>
              <w:t>courses</w:t>
            </w:r>
            <w:r>
              <w:rPr>
                <w:rFonts w:ascii="Garamond" w:hAnsi="Garamond"/>
                <w:sz w:val="22"/>
                <w:szCs w:val="22"/>
              </w:rPr>
              <w:t xml:space="preserve"> were taught by CDHD faculty in fiscal year 2015, with a total of </w:t>
            </w:r>
            <w:r w:rsidRPr="00C350D0">
              <w:rPr>
                <w:rFonts w:ascii="Garamond" w:hAnsi="Garamond"/>
                <w:b/>
                <w:sz w:val="22"/>
                <w:szCs w:val="22"/>
              </w:rPr>
              <w:t>410</w:t>
            </w:r>
            <w:r>
              <w:rPr>
                <w:rFonts w:ascii="Garamond" w:hAnsi="Garamond"/>
                <w:sz w:val="22"/>
                <w:szCs w:val="22"/>
              </w:rPr>
              <w:t xml:space="preserve"> </w:t>
            </w:r>
            <w:r w:rsidRPr="00C350D0">
              <w:rPr>
                <w:rFonts w:ascii="Garamond" w:hAnsi="Garamond"/>
                <w:b/>
                <w:sz w:val="22"/>
                <w:szCs w:val="22"/>
              </w:rPr>
              <w:t>students</w:t>
            </w:r>
            <w:r>
              <w:rPr>
                <w:rFonts w:ascii="Garamond" w:hAnsi="Garamond"/>
                <w:sz w:val="22"/>
                <w:szCs w:val="22"/>
              </w:rPr>
              <w:t xml:space="preserve">. </w:t>
            </w:r>
            <w:r w:rsidR="00827DFF">
              <w:rPr>
                <w:rFonts w:ascii="Garamond" w:hAnsi="Garamond"/>
                <w:sz w:val="22"/>
                <w:szCs w:val="22"/>
              </w:rPr>
              <w:t>Examples of c</w:t>
            </w:r>
            <w:r>
              <w:rPr>
                <w:rFonts w:ascii="Garamond" w:hAnsi="Garamond"/>
                <w:sz w:val="22"/>
                <w:szCs w:val="22"/>
              </w:rPr>
              <w:t>ourse titles include:</w:t>
            </w:r>
            <w:r w:rsidR="00827DFF">
              <w:rPr>
                <w:rFonts w:ascii="Garamond" w:hAnsi="Garamond"/>
                <w:sz w:val="22"/>
                <w:szCs w:val="22"/>
              </w:rPr>
              <w:t xml:space="preserve"> </w:t>
            </w:r>
            <w:r w:rsidR="00827DFF" w:rsidRPr="00827DFF">
              <w:rPr>
                <w:rFonts w:ascii="Garamond" w:hAnsi="Garamond"/>
                <w:sz w:val="22"/>
                <w:szCs w:val="22"/>
              </w:rPr>
              <w:t>Literacy Assessment and Intervention</w:t>
            </w:r>
            <w:r w:rsidR="00C350D0">
              <w:rPr>
                <w:rFonts w:ascii="Garamond" w:hAnsi="Garamond"/>
                <w:sz w:val="22"/>
                <w:szCs w:val="22"/>
              </w:rPr>
              <w:t>,</w:t>
            </w:r>
            <w:r w:rsidR="00827DFF">
              <w:rPr>
                <w:rFonts w:ascii="Garamond" w:hAnsi="Garamond"/>
                <w:sz w:val="22"/>
                <w:szCs w:val="22"/>
              </w:rPr>
              <w:t xml:space="preserve"> </w:t>
            </w:r>
            <w:r w:rsidR="00827DFF" w:rsidRPr="00827DFF">
              <w:rPr>
                <w:rFonts w:ascii="Garamond" w:hAnsi="Garamond"/>
                <w:sz w:val="22"/>
                <w:szCs w:val="22"/>
              </w:rPr>
              <w:t>Educating for Exceptionalities</w:t>
            </w:r>
            <w:r w:rsidR="00C350D0">
              <w:rPr>
                <w:rFonts w:ascii="Garamond" w:hAnsi="Garamond"/>
                <w:sz w:val="22"/>
                <w:szCs w:val="22"/>
              </w:rPr>
              <w:t>,</w:t>
            </w:r>
            <w:r w:rsidR="00827DFF">
              <w:t xml:space="preserve"> </w:t>
            </w:r>
            <w:r w:rsidR="00827DFF" w:rsidRPr="00827DFF">
              <w:rPr>
                <w:rFonts w:ascii="Garamond" w:hAnsi="Garamond"/>
                <w:sz w:val="22"/>
                <w:szCs w:val="22"/>
              </w:rPr>
              <w:t>Research in Special Education</w:t>
            </w:r>
            <w:r w:rsidR="00827DFF">
              <w:rPr>
                <w:rFonts w:ascii="Garamond" w:hAnsi="Garamond"/>
                <w:sz w:val="22"/>
                <w:szCs w:val="22"/>
              </w:rPr>
              <w:t>,</w:t>
            </w:r>
            <w:r w:rsidR="00827DFF">
              <w:t xml:space="preserve"> </w:t>
            </w:r>
            <w:r w:rsidR="00827DFF" w:rsidRPr="00827DFF">
              <w:rPr>
                <w:rFonts w:ascii="Garamond" w:hAnsi="Garamond"/>
                <w:sz w:val="22"/>
                <w:szCs w:val="22"/>
              </w:rPr>
              <w:t>Disability Policy &amp; Law</w:t>
            </w:r>
            <w:r w:rsidR="00827DFF">
              <w:rPr>
                <w:rFonts w:ascii="Garamond" w:hAnsi="Garamond"/>
                <w:sz w:val="22"/>
                <w:szCs w:val="22"/>
              </w:rPr>
              <w:t>,</w:t>
            </w:r>
            <w:r w:rsidR="00827DFF">
              <w:t xml:space="preserve"> </w:t>
            </w:r>
            <w:r w:rsidR="00827DFF" w:rsidRPr="00827DFF">
              <w:rPr>
                <w:rFonts w:ascii="Garamond" w:hAnsi="Garamond"/>
                <w:sz w:val="22"/>
                <w:szCs w:val="22"/>
              </w:rPr>
              <w:t>Evid</w:t>
            </w:r>
            <w:r w:rsidR="00827DFF">
              <w:rPr>
                <w:rFonts w:ascii="Garamond" w:hAnsi="Garamond"/>
                <w:sz w:val="22"/>
                <w:szCs w:val="22"/>
              </w:rPr>
              <w:t>ence Based Practice</w:t>
            </w:r>
            <w:r w:rsidR="00827DFF" w:rsidRPr="00827DFF">
              <w:rPr>
                <w:rFonts w:ascii="Garamond" w:hAnsi="Garamond"/>
                <w:sz w:val="22"/>
                <w:szCs w:val="22"/>
              </w:rPr>
              <w:t xml:space="preserve"> in Spec</w:t>
            </w:r>
            <w:r w:rsidR="009E256E">
              <w:rPr>
                <w:rFonts w:ascii="Garamond" w:hAnsi="Garamond"/>
                <w:sz w:val="22"/>
                <w:szCs w:val="22"/>
              </w:rPr>
              <w:t>ial Education</w:t>
            </w:r>
            <w:r w:rsidR="00C350D0">
              <w:rPr>
                <w:rFonts w:ascii="Garamond" w:hAnsi="Garamond"/>
                <w:sz w:val="22"/>
                <w:szCs w:val="22"/>
              </w:rPr>
              <w:t>,</w:t>
            </w:r>
            <w:r w:rsidR="00827DFF">
              <w:t xml:space="preserve"> </w:t>
            </w:r>
            <w:r w:rsidR="00C350D0">
              <w:rPr>
                <w:rFonts w:ascii="Garamond" w:hAnsi="Garamond"/>
                <w:sz w:val="22"/>
                <w:szCs w:val="22"/>
              </w:rPr>
              <w:t>Assistive</w:t>
            </w:r>
            <w:r w:rsidR="00827DFF" w:rsidRPr="00827DFF">
              <w:rPr>
                <w:rFonts w:ascii="Garamond" w:hAnsi="Garamond"/>
                <w:sz w:val="22"/>
                <w:szCs w:val="22"/>
              </w:rPr>
              <w:t xml:space="preserve"> Tech</w:t>
            </w:r>
            <w:r w:rsidR="009E256E">
              <w:rPr>
                <w:rFonts w:ascii="Garamond" w:hAnsi="Garamond"/>
                <w:sz w:val="22"/>
                <w:szCs w:val="22"/>
              </w:rPr>
              <w:t>nology</w:t>
            </w:r>
            <w:r w:rsidR="00827DFF" w:rsidRPr="00827DFF">
              <w:rPr>
                <w:rFonts w:ascii="Garamond" w:hAnsi="Garamond"/>
                <w:sz w:val="22"/>
                <w:szCs w:val="22"/>
              </w:rPr>
              <w:t xml:space="preserve"> &amp; UDL PK12</w:t>
            </w:r>
            <w:r w:rsidR="00827DFF">
              <w:rPr>
                <w:rFonts w:ascii="Garamond" w:hAnsi="Garamond"/>
                <w:sz w:val="22"/>
                <w:szCs w:val="22"/>
              </w:rPr>
              <w:t>,</w:t>
            </w:r>
            <w:r w:rsidR="00827DFF">
              <w:t xml:space="preserve"> </w:t>
            </w:r>
            <w:r w:rsidR="00827DFF" w:rsidRPr="00827DFF">
              <w:rPr>
                <w:rFonts w:ascii="Garamond" w:hAnsi="Garamond"/>
                <w:sz w:val="22"/>
                <w:szCs w:val="22"/>
              </w:rPr>
              <w:t>Principles</w:t>
            </w:r>
            <w:r w:rsidR="003E2837">
              <w:rPr>
                <w:rFonts w:ascii="Garamond" w:hAnsi="Garamond"/>
                <w:sz w:val="22"/>
                <w:szCs w:val="22"/>
              </w:rPr>
              <w:t xml:space="preserve"> of Leadership in Interdisciplinary Education</w:t>
            </w:r>
            <w:r w:rsidR="00827DFF">
              <w:rPr>
                <w:rFonts w:ascii="Garamond" w:hAnsi="Garamond"/>
                <w:sz w:val="22"/>
                <w:szCs w:val="22"/>
              </w:rPr>
              <w:t>,</w:t>
            </w:r>
            <w:r w:rsidR="00827DFF">
              <w:t xml:space="preserve"> </w:t>
            </w:r>
            <w:r w:rsidR="00827DFF" w:rsidRPr="00827DFF">
              <w:rPr>
                <w:rFonts w:ascii="Garamond" w:hAnsi="Garamond"/>
                <w:sz w:val="22"/>
                <w:szCs w:val="22"/>
              </w:rPr>
              <w:t>Behavioral Analysis for Children and Youth</w:t>
            </w:r>
            <w:r w:rsidR="00827DFF">
              <w:rPr>
                <w:rFonts w:ascii="Garamond" w:hAnsi="Garamond"/>
                <w:sz w:val="22"/>
                <w:szCs w:val="22"/>
              </w:rPr>
              <w:t>,</w:t>
            </w:r>
            <w:r w:rsidR="00827DFF">
              <w:t xml:space="preserve"> </w:t>
            </w:r>
            <w:r w:rsidR="00827DFF" w:rsidRPr="00827DFF">
              <w:rPr>
                <w:rFonts w:ascii="Garamond" w:hAnsi="Garamond"/>
                <w:sz w:val="22"/>
                <w:szCs w:val="22"/>
              </w:rPr>
              <w:t>Special Education Curriculum</w:t>
            </w:r>
            <w:r w:rsidR="00827DFF">
              <w:rPr>
                <w:rFonts w:ascii="Garamond" w:hAnsi="Garamond"/>
                <w:sz w:val="22"/>
                <w:szCs w:val="22"/>
              </w:rPr>
              <w:t>,</w:t>
            </w:r>
            <w:r w:rsidR="00827DFF">
              <w:t xml:space="preserve"> </w:t>
            </w:r>
            <w:r w:rsidR="00827DFF" w:rsidRPr="00827DFF">
              <w:rPr>
                <w:rFonts w:ascii="Garamond" w:hAnsi="Garamond"/>
                <w:sz w:val="22"/>
                <w:szCs w:val="22"/>
              </w:rPr>
              <w:t>Disorders</w:t>
            </w:r>
            <w:r w:rsidR="003E2837">
              <w:rPr>
                <w:rFonts w:ascii="Garamond" w:hAnsi="Garamond"/>
                <w:sz w:val="22"/>
                <w:szCs w:val="22"/>
              </w:rPr>
              <w:t xml:space="preserve"> of Childhood and</w:t>
            </w:r>
            <w:r w:rsidR="00827DFF" w:rsidRPr="00827DFF">
              <w:rPr>
                <w:rFonts w:ascii="Garamond" w:hAnsi="Garamond"/>
                <w:sz w:val="22"/>
                <w:szCs w:val="22"/>
              </w:rPr>
              <w:t xml:space="preserve"> Adolescence</w:t>
            </w:r>
            <w:r w:rsidR="00827DFF">
              <w:rPr>
                <w:rFonts w:ascii="Garamond" w:hAnsi="Garamond"/>
                <w:sz w:val="22"/>
                <w:szCs w:val="22"/>
              </w:rPr>
              <w:t>,</w:t>
            </w:r>
            <w:r w:rsidR="00827DFF">
              <w:t xml:space="preserve"> </w:t>
            </w:r>
            <w:r w:rsidR="00827DFF" w:rsidRPr="00827DFF">
              <w:rPr>
                <w:rFonts w:ascii="Garamond" w:hAnsi="Garamond"/>
                <w:sz w:val="22"/>
                <w:szCs w:val="22"/>
              </w:rPr>
              <w:t>Literacy Assessment and Intervention</w:t>
            </w:r>
            <w:r w:rsidR="00827DFF">
              <w:rPr>
                <w:rFonts w:ascii="Garamond" w:hAnsi="Garamond"/>
                <w:sz w:val="22"/>
                <w:szCs w:val="22"/>
              </w:rPr>
              <w:t>,</w:t>
            </w:r>
            <w:r w:rsidR="00827DFF">
              <w:t xml:space="preserve"> </w:t>
            </w:r>
            <w:r w:rsidR="00827DFF" w:rsidRPr="00827DFF">
              <w:rPr>
                <w:rFonts w:ascii="Garamond" w:hAnsi="Garamond"/>
                <w:sz w:val="22"/>
                <w:szCs w:val="22"/>
              </w:rPr>
              <w:t>Collaboration</w:t>
            </w:r>
            <w:r w:rsidR="00827DFF">
              <w:rPr>
                <w:rFonts w:ascii="Garamond" w:hAnsi="Garamond"/>
                <w:sz w:val="22"/>
                <w:szCs w:val="22"/>
              </w:rPr>
              <w:t>,</w:t>
            </w:r>
            <w:r w:rsidR="00827DFF">
              <w:t xml:space="preserve"> </w:t>
            </w:r>
            <w:r w:rsidR="00827DFF" w:rsidRPr="00827DFF">
              <w:rPr>
                <w:rFonts w:ascii="Garamond" w:hAnsi="Garamond"/>
                <w:sz w:val="22"/>
                <w:szCs w:val="22"/>
              </w:rPr>
              <w:t>Autism Spectrum</w:t>
            </w:r>
            <w:r w:rsidR="009E256E">
              <w:rPr>
                <w:rFonts w:ascii="Garamond" w:hAnsi="Garamond"/>
                <w:sz w:val="22"/>
                <w:szCs w:val="22"/>
              </w:rPr>
              <w:t>,</w:t>
            </w:r>
            <w:r w:rsidR="00827DFF">
              <w:rPr>
                <w:rFonts w:ascii="Garamond" w:hAnsi="Garamond"/>
                <w:sz w:val="22"/>
                <w:szCs w:val="22"/>
              </w:rPr>
              <w:t xml:space="preserve"> Doctoral Research, Immersion Practicum</w:t>
            </w:r>
            <w:r w:rsidR="009E256E">
              <w:rPr>
                <w:rFonts w:ascii="Garamond" w:hAnsi="Garamond"/>
                <w:sz w:val="22"/>
                <w:szCs w:val="22"/>
              </w:rPr>
              <w:t>, Culture and Communication.</w:t>
            </w:r>
          </w:p>
          <w:p w:rsidR="00827DFF" w:rsidRPr="00A44D6D" w:rsidRDefault="003E2837" w:rsidP="00F3644E">
            <w:pPr>
              <w:numPr>
                <w:ilvl w:val="0"/>
                <w:numId w:val="3"/>
              </w:numPr>
              <w:rPr>
                <w:rFonts w:ascii="Garamond" w:hAnsi="Garamond"/>
                <w:sz w:val="22"/>
                <w:szCs w:val="22"/>
              </w:rPr>
            </w:pPr>
            <w:r>
              <w:rPr>
                <w:rFonts w:ascii="Garamond" w:hAnsi="Garamond"/>
                <w:sz w:val="22"/>
                <w:szCs w:val="22"/>
              </w:rPr>
              <w:t>Faculty</w:t>
            </w:r>
            <w:r w:rsidR="00827DFF">
              <w:rPr>
                <w:rFonts w:ascii="Garamond" w:hAnsi="Garamond"/>
                <w:sz w:val="22"/>
                <w:szCs w:val="22"/>
              </w:rPr>
              <w:t xml:space="preserve"> and staff from the CDHD participated in preservice course delivery through guest lectures</w:t>
            </w:r>
            <w:r w:rsidR="00C350D0">
              <w:rPr>
                <w:rFonts w:ascii="Garamond" w:hAnsi="Garamond"/>
                <w:sz w:val="22"/>
                <w:szCs w:val="22"/>
              </w:rPr>
              <w:t xml:space="preserve"> at UI and at other campuses</w:t>
            </w:r>
            <w:r w:rsidR="009E256E">
              <w:rPr>
                <w:rFonts w:ascii="Garamond" w:hAnsi="Garamond"/>
                <w:sz w:val="22"/>
                <w:szCs w:val="22"/>
              </w:rPr>
              <w:t xml:space="preserve"> (i.</w:t>
            </w:r>
            <w:r>
              <w:rPr>
                <w:rFonts w:ascii="Garamond" w:hAnsi="Garamond"/>
                <w:sz w:val="22"/>
                <w:szCs w:val="22"/>
              </w:rPr>
              <w:t>e., LCSC, ISU)</w:t>
            </w:r>
            <w:r w:rsidR="00C350D0">
              <w:rPr>
                <w:rFonts w:ascii="Garamond" w:hAnsi="Garamond"/>
                <w:sz w:val="22"/>
                <w:szCs w:val="22"/>
              </w:rPr>
              <w:t xml:space="preserve">.  A total of </w:t>
            </w:r>
            <w:r w:rsidR="00C350D0" w:rsidRPr="00C350D0">
              <w:rPr>
                <w:rFonts w:ascii="Garamond" w:hAnsi="Garamond"/>
                <w:b/>
                <w:sz w:val="22"/>
                <w:szCs w:val="22"/>
              </w:rPr>
              <w:t>154 students</w:t>
            </w:r>
            <w:r w:rsidR="00C350D0">
              <w:rPr>
                <w:rFonts w:ascii="Garamond" w:hAnsi="Garamond"/>
                <w:sz w:val="22"/>
                <w:szCs w:val="22"/>
              </w:rPr>
              <w:t xml:space="preserve"> participated in </w:t>
            </w:r>
            <w:r w:rsidR="00C350D0" w:rsidRPr="00C350D0">
              <w:rPr>
                <w:rFonts w:ascii="Garamond" w:hAnsi="Garamond"/>
                <w:b/>
                <w:sz w:val="22"/>
                <w:szCs w:val="22"/>
              </w:rPr>
              <w:t>eight course sessions.</w:t>
            </w:r>
            <w:r w:rsidR="00F3644E">
              <w:rPr>
                <w:rFonts w:ascii="Garamond" w:hAnsi="Garamond"/>
                <w:sz w:val="22"/>
                <w:szCs w:val="22"/>
              </w:rPr>
              <w:t xml:space="preserve"> Titles include: How to Support Adults with Disabilities in Art Workshops, IATP’s Role in Supporting Students and Teachers with AT Devices and Services, Plethora of AT to Support Struggling Students, Assistive Technology Commonly Used in Work Environments by P</w:t>
            </w:r>
            <w:r w:rsidR="00C350D0">
              <w:rPr>
                <w:rFonts w:ascii="Garamond" w:hAnsi="Garamond"/>
                <w:sz w:val="22"/>
                <w:szCs w:val="22"/>
              </w:rPr>
              <w:t>erson</w:t>
            </w:r>
            <w:r w:rsidR="00F3644E">
              <w:rPr>
                <w:rFonts w:ascii="Garamond" w:hAnsi="Garamond"/>
                <w:sz w:val="22"/>
                <w:szCs w:val="22"/>
              </w:rPr>
              <w:t>s with Existing or Acquired D</w:t>
            </w:r>
            <w:r w:rsidR="00C350D0">
              <w:rPr>
                <w:rFonts w:ascii="Garamond" w:hAnsi="Garamond"/>
                <w:sz w:val="22"/>
                <w:szCs w:val="22"/>
              </w:rPr>
              <w:t>isabilities, AT in an Ed Tech course</w:t>
            </w:r>
            <w:r w:rsidR="00F3644E">
              <w:rPr>
                <w:rFonts w:ascii="Garamond" w:hAnsi="Garamond"/>
                <w:sz w:val="22"/>
                <w:szCs w:val="22"/>
              </w:rPr>
              <w:t>,</w:t>
            </w:r>
            <w:r w:rsidR="00C350D0">
              <w:rPr>
                <w:rFonts w:ascii="Garamond" w:hAnsi="Garamond"/>
                <w:sz w:val="22"/>
                <w:szCs w:val="22"/>
              </w:rPr>
              <w:t xml:space="preserve"> and </w:t>
            </w:r>
            <w:r w:rsidR="00F3644E">
              <w:rPr>
                <w:rFonts w:ascii="Garamond" w:hAnsi="Garamond"/>
                <w:sz w:val="22"/>
                <w:szCs w:val="22"/>
              </w:rPr>
              <w:t>SPED, Assistive Technology for Young L</w:t>
            </w:r>
            <w:r w:rsidR="00C350D0">
              <w:rPr>
                <w:rFonts w:ascii="Garamond" w:hAnsi="Garamond"/>
                <w:sz w:val="22"/>
                <w:szCs w:val="22"/>
              </w:rPr>
              <w:t>earner</w:t>
            </w:r>
            <w:r w:rsidR="00F3644E">
              <w:rPr>
                <w:rFonts w:ascii="Garamond" w:hAnsi="Garamond"/>
                <w:sz w:val="22"/>
                <w:szCs w:val="22"/>
              </w:rPr>
              <w:t xml:space="preserve">s-AT Toy Library. </w:t>
            </w:r>
          </w:p>
        </w:tc>
        <w:tc>
          <w:tcPr>
            <w:tcW w:w="826" w:type="pct"/>
          </w:tcPr>
          <w:p w:rsidR="0039072E" w:rsidRPr="0039072E" w:rsidRDefault="0039072E" w:rsidP="0039072E">
            <w:pPr>
              <w:rPr>
                <w:rFonts w:ascii="Garamond" w:hAnsi="Garamond"/>
                <w:b/>
                <w:sz w:val="22"/>
                <w:szCs w:val="22"/>
              </w:rPr>
            </w:pPr>
            <w:r w:rsidRPr="0039072E">
              <w:rPr>
                <w:rFonts w:ascii="Garamond" w:hAnsi="Garamond"/>
                <w:b/>
                <w:sz w:val="22"/>
                <w:szCs w:val="22"/>
              </w:rPr>
              <w:sym w:font="Wingdings" w:char="F0FE"/>
            </w:r>
            <w:r w:rsidRPr="0039072E">
              <w:rPr>
                <w:rFonts w:ascii="Garamond" w:hAnsi="Garamond"/>
                <w:b/>
                <w:sz w:val="22"/>
                <w:szCs w:val="22"/>
              </w:rPr>
              <w:t xml:space="preserve"> Fully achieved</w:t>
            </w:r>
          </w:p>
          <w:p w:rsidR="0039072E" w:rsidRDefault="0039072E" w:rsidP="0039072E">
            <w:pPr>
              <w:rPr>
                <w:rFonts w:ascii="Garamond" w:hAnsi="Garamond"/>
                <w:sz w:val="22"/>
                <w:szCs w:val="22"/>
              </w:rPr>
            </w:pPr>
          </w:p>
          <w:p w:rsidR="0039072E" w:rsidRDefault="0039072E" w:rsidP="0039072E">
            <w:pPr>
              <w:rPr>
                <w:rFonts w:ascii="Garamond" w:hAnsi="Garamond"/>
                <w:b/>
                <w:sz w:val="22"/>
                <w:szCs w:val="22"/>
              </w:rPr>
            </w:pPr>
            <w:r w:rsidRPr="00A44D6D">
              <w:rPr>
                <w:rFonts w:ascii="Garamond" w:hAnsi="Garamond"/>
                <w:sz w:val="22"/>
                <w:szCs w:val="22"/>
              </w:rPr>
              <w:sym w:font="Wingdings" w:char="F06F"/>
            </w:r>
            <w:r w:rsidRPr="00A44D6D">
              <w:rPr>
                <w:rFonts w:ascii="Garamond" w:hAnsi="Garamond"/>
                <w:sz w:val="22"/>
                <w:szCs w:val="22"/>
              </w:rPr>
              <w:t xml:space="preserve"> </w:t>
            </w:r>
            <w:r w:rsidRPr="0039072E">
              <w:rPr>
                <w:rFonts w:ascii="Garamond" w:hAnsi="Garamond"/>
                <w:sz w:val="22"/>
                <w:szCs w:val="22"/>
              </w:rPr>
              <w:t>Partially achieved</w:t>
            </w:r>
          </w:p>
          <w:p w:rsidR="0039072E" w:rsidRPr="0039072E" w:rsidRDefault="0039072E" w:rsidP="0039072E">
            <w:pPr>
              <w:rPr>
                <w:rFonts w:ascii="Garamond" w:hAnsi="Garamond"/>
                <w:b/>
                <w:sz w:val="22"/>
                <w:szCs w:val="22"/>
              </w:rPr>
            </w:pPr>
          </w:p>
          <w:p w:rsidR="0039072E" w:rsidRPr="00A44D6D" w:rsidRDefault="0039072E" w:rsidP="0039072E">
            <w:pPr>
              <w:rPr>
                <w:rFonts w:ascii="Garamond" w:hAnsi="Garamond"/>
                <w:sz w:val="22"/>
                <w:szCs w:val="22"/>
              </w:rPr>
            </w:pPr>
            <w:r w:rsidRPr="00A44D6D">
              <w:rPr>
                <w:rFonts w:ascii="Garamond" w:hAnsi="Garamond"/>
                <w:sz w:val="22"/>
                <w:szCs w:val="22"/>
              </w:rPr>
              <w:sym w:font="Wingdings" w:char="F06F"/>
            </w:r>
            <w:r w:rsidRPr="00A44D6D">
              <w:rPr>
                <w:rFonts w:ascii="Garamond" w:hAnsi="Garamond"/>
                <w:sz w:val="22"/>
                <w:szCs w:val="22"/>
              </w:rPr>
              <w:t xml:space="preserve"> Not initiated yet</w:t>
            </w:r>
          </w:p>
          <w:p w:rsidR="0039072E" w:rsidRPr="00A44D6D" w:rsidRDefault="0039072E" w:rsidP="0039072E">
            <w:pPr>
              <w:rPr>
                <w:rFonts w:ascii="Garamond" w:hAnsi="Garamond"/>
                <w:sz w:val="22"/>
                <w:szCs w:val="22"/>
              </w:rPr>
            </w:pPr>
          </w:p>
          <w:p w:rsidR="00C350D0" w:rsidRDefault="00C350D0" w:rsidP="002B07B9">
            <w:pPr>
              <w:rPr>
                <w:rFonts w:ascii="Garamond" w:hAnsi="Garamond"/>
                <w:sz w:val="22"/>
                <w:szCs w:val="22"/>
              </w:rPr>
            </w:pPr>
          </w:p>
          <w:p w:rsidR="00F004C5" w:rsidRPr="00F3644E" w:rsidRDefault="0039072E" w:rsidP="00F004C5">
            <w:pPr>
              <w:ind w:left="22"/>
              <w:jc w:val="both"/>
              <w:rPr>
                <w:rFonts w:ascii="Garamond" w:hAnsi="Garamond"/>
                <w:b/>
                <w:sz w:val="22"/>
                <w:szCs w:val="22"/>
              </w:rPr>
            </w:pPr>
            <w:r>
              <w:rPr>
                <w:rFonts w:ascii="Garamond" w:hAnsi="Garamond"/>
                <w:b/>
                <w:sz w:val="22"/>
                <w:szCs w:val="22"/>
              </w:rPr>
              <w:t>Goal 1 Overall:</w:t>
            </w:r>
            <w:r w:rsidR="00760693">
              <w:rPr>
                <w:rFonts w:ascii="Garamond" w:hAnsi="Garamond"/>
                <w:b/>
                <w:sz w:val="22"/>
                <w:szCs w:val="22"/>
              </w:rPr>
              <w:t xml:space="preserve"> Fully Achieved</w:t>
            </w:r>
          </w:p>
          <w:p w:rsidR="00F004C5" w:rsidRPr="00F3644E" w:rsidRDefault="00F004C5" w:rsidP="00F004C5">
            <w:pPr>
              <w:ind w:left="921"/>
              <w:rPr>
                <w:rFonts w:ascii="Garamond" w:hAnsi="Garamond"/>
                <w:b/>
                <w:sz w:val="22"/>
                <w:szCs w:val="22"/>
              </w:rPr>
            </w:pPr>
          </w:p>
          <w:p w:rsidR="00F004C5" w:rsidRPr="00F3644E" w:rsidRDefault="00774F8D" w:rsidP="00F004C5">
            <w:pPr>
              <w:ind w:left="22"/>
              <w:rPr>
                <w:rFonts w:ascii="Garamond" w:hAnsi="Garamond"/>
                <w:b/>
                <w:sz w:val="22"/>
                <w:szCs w:val="22"/>
              </w:rPr>
            </w:pPr>
            <w:r w:rsidRPr="00F3644E">
              <w:rPr>
                <w:rFonts w:ascii="Garamond" w:hAnsi="Garamond"/>
                <w:b/>
                <w:sz w:val="22"/>
                <w:szCs w:val="22"/>
              </w:rPr>
              <w:t>597 participating students in FY 2015; exceeds five year goal</w:t>
            </w:r>
            <w:r w:rsidR="008C51F5">
              <w:rPr>
                <w:rFonts w:ascii="Garamond" w:hAnsi="Garamond"/>
                <w:b/>
                <w:sz w:val="22"/>
                <w:szCs w:val="22"/>
              </w:rPr>
              <w:t>.</w:t>
            </w:r>
            <w:bookmarkStart w:id="0" w:name="_GoBack"/>
            <w:bookmarkEnd w:id="0"/>
          </w:p>
          <w:p w:rsidR="002B07B9" w:rsidRPr="00A44D6D" w:rsidRDefault="002B07B9" w:rsidP="002B07B9">
            <w:pPr>
              <w:rPr>
                <w:rFonts w:ascii="Garamond" w:hAnsi="Garamond"/>
                <w:sz w:val="22"/>
                <w:szCs w:val="22"/>
              </w:rPr>
            </w:pPr>
          </w:p>
          <w:p w:rsidR="00AC6B62" w:rsidRPr="00A44D6D" w:rsidRDefault="00AC6B62" w:rsidP="005F5355">
            <w:pPr>
              <w:rPr>
                <w:rFonts w:ascii="Garamond" w:hAnsi="Garamond"/>
                <w:sz w:val="22"/>
                <w:szCs w:val="22"/>
              </w:rPr>
            </w:pPr>
          </w:p>
        </w:tc>
      </w:tr>
    </w:tbl>
    <w:p w:rsidR="00890E90" w:rsidRPr="00A44D6D" w:rsidRDefault="00890E90">
      <w:pPr>
        <w:rPr>
          <w:rFonts w:ascii="Garamond" w:hAnsi="Garamond"/>
          <w:sz w:val="22"/>
          <w:szCs w:val="22"/>
        </w:rPr>
      </w:pPr>
    </w:p>
    <w:sectPr w:rsidR="00890E90" w:rsidRPr="00A44D6D" w:rsidSect="00E5200D">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2F" w:rsidRDefault="00AB562F" w:rsidP="00AB562F">
      <w:r>
        <w:separator/>
      </w:r>
    </w:p>
  </w:endnote>
  <w:endnote w:type="continuationSeparator" w:id="0">
    <w:p w:rsidR="00AB562F" w:rsidRDefault="00AB562F" w:rsidP="00AB5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900560"/>
      <w:docPartObj>
        <w:docPartGallery w:val="Page Numbers (Bottom of Page)"/>
        <w:docPartUnique/>
      </w:docPartObj>
    </w:sdtPr>
    <w:sdtEndPr/>
    <w:sdtContent>
      <w:sdt>
        <w:sdtPr>
          <w:id w:val="860082579"/>
          <w:docPartObj>
            <w:docPartGallery w:val="Page Numbers (Top of Page)"/>
            <w:docPartUnique/>
          </w:docPartObj>
        </w:sdtPr>
        <w:sdtEndPr/>
        <w:sdtContent>
          <w:p w:rsidR="00AB562F" w:rsidRDefault="00AB562F">
            <w:pPr>
              <w:pStyle w:val="Footer"/>
              <w:jc w:val="right"/>
            </w:pPr>
            <w:r w:rsidRPr="006C291C">
              <w:rPr>
                <w:sz w:val="20"/>
                <w:szCs w:val="20"/>
              </w:rPr>
              <w:t xml:space="preserve">Page </w:t>
            </w:r>
            <w:r w:rsidRPr="006C291C">
              <w:rPr>
                <w:b/>
                <w:bCs/>
                <w:sz w:val="20"/>
                <w:szCs w:val="20"/>
              </w:rPr>
              <w:fldChar w:fldCharType="begin"/>
            </w:r>
            <w:r w:rsidRPr="006C291C">
              <w:rPr>
                <w:b/>
                <w:bCs/>
                <w:sz w:val="20"/>
                <w:szCs w:val="20"/>
              </w:rPr>
              <w:instrText xml:space="preserve"> PAGE </w:instrText>
            </w:r>
            <w:r w:rsidRPr="006C291C">
              <w:rPr>
                <w:b/>
                <w:bCs/>
                <w:sz w:val="20"/>
                <w:szCs w:val="20"/>
              </w:rPr>
              <w:fldChar w:fldCharType="separate"/>
            </w:r>
            <w:r w:rsidR="008C51F5">
              <w:rPr>
                <w:b/>
                <w:bCs/>
                <w:noProof/>
                <w:sz w:val="20"/>
                <w:szCs w:val="20"/>
              </w:rPr>
              <w:t>1</w:t>
            </w:r>
            <w:r w:rsidRPr="006C291C">
              <w:rPr>
                <w:b/>
                <w:bCs/>
                <w:sz w:val="20"/>
                <w:szCs w:val="20"/>
              </w:rPr>
              <w:fldChar w:fldCharType="end"/>
            </w:r>
            <w:r w:rsidRPr="006C291C">
              <w:rPr>
                <w:sz w:val="20"/>
                <w:szCs w:val="20"/>
              </w:rPr>
              <w:t xml:space="preserve"> of </w:t>
            </w:r>
            <w:r w:rsidRPr="006C291C">
              <w:rPr>
                <w:b/>
                <w:bCs/>
                <w:sz w:val="20"/>
                <w:szCs w:val="20"/>
              </w:rPr>
              <w:fldChar w:fldCharType="begin"/>
            </w:r>
            <w:r w:rsidRPr="006C291C">
              <w:rPr>
                <w:b/>
                <w:bCs/>
                <w:sz w:val="20"/>
                <w:szCs w:val="20"/>
              </w:rPr>
              <w:instrText xml:space="preserve"> NUMPAGES  </w:instrText>
            </w:r>
            <w:r w:rsidRPr="006C291C">
              <w:rPr>
                <w:b/>
                <w:bCs/>
                <w:sz w:val="20"/>
                <w:szCs w:val="20"/>
              </w:rPr>
              <w:fldChar w:fldCharType="separate"/>
            </w:r>
            <w:r w:rsidR="008C51F5">
              <w:rPr>
                <w:b/>
                <w:bCs/>
                <w:noProof/>
                <w:sz w:val="20"/>
                <w:szCs w:val="20"/>
              </w:rPr>
              <w:t>2</w:t>
            </w:r>
            <w:r w:rsidRPr="006C291C">
              <w:rPr>
                <w:b/>
                <w:bCs/>
                <w:sz w:val="20"/>
                <w:szCs w:val="20"/>
              </w:rPr>
              <w:fldChar w:fldCharType="end"/>
            </w:r>
          </w:p>
        </w:sdtContent>
      </w:sdt>
    </w:sdtContent>
  </w:sdt>
  <w:p w:rsidR="00AB562F" w:rsidRDefault="00AB5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2F" w:rsidRDefault="00AB562F" w:rsidP="00AB562F">
      <w:r>
        <w:separator/>
      </w:r>
    </w:p>
  </w:footnote>
  <w:footnote w:type="continuationSeparator" w:id="0">
    <w:p w:rsidR="00AB562F" w:rsidRDefault="00AB562F" w:rsidP="00AB5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62F" w:rsidRPr="006C291C" w:rsidRDefault="00AB562F" w:rsidP="00AB562F">
    <w:pPr>
      <w:pStyle w:val="Header"/>
      <w:jc w:val="right"/>
      <w:rPr>
        <w:sz w:val="20"/>
        <w:szCs w:val="20"/>
      </w:rPr>
    </w:pPr>
    <w:r w:rsidRPr="006C291C">
      <w:rPr>
        <w:sz w:val="20"/>
        <w:szCs w:val="20"/>
      </w:rPr>
      <w:t>Goal 1 FY</w:t>
    </w:r>
    <w:r w:rsidR="006C291C" w:rsidRPr="006C291C">
      <w:rPr>
        <w:sz w:val="20"/>
        <w:szCs w:val="20"/>
      </w:rPr>
      <w:t xml:space="preserve"> </w:t>
    </w:r>
    <w:r w:rsidRPr="006C291C">
      <w:rPr>
        <w:sz w:val="20"/>
        <w:szCs w:val="20"/>
      </w:rPr>
      <w:t>201</w:t>
    </w:r>
    <w:r w:rsidR="005F5355">
      <w:rPr>
        <w:sz w:val="20"/>
        <w:szCs w:val="20"/>
      </w:rPr>
      <w:t>5</w:t>
    </w:r>
    <w:r w:rsidRPr="006C291C">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11D8"/>
    <w:multiLevelType w:val="hybridMultilevel"/>
    <w:tmpl w:val="ACB63E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30CF6"/>
    <w:multiLevelType w:val="hybridMultilevel"/>
    <w:tmpl w:val="D3BC84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76B1A"/>
    <w:multiLevelType w:val="hybridMultilevel"/>
    <w:tmpl w:val="3F2260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443C3"/>
    <w:multiLevelType w:val="hybridMultilevel"/>
    <w:tmpl w:val="22D6B1EC"/>
    <w:lvl w:ilvl="0" w:tplc="CE369C1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C0A34"/>
    <w:multiLevelType w:val="hybridMultilevel"/>
    <w:tmpl w:val="70BC6C9C"/>
    <w:lvl w:ilvl="0" w:tplc="4F40C5E4">
      <w:numFmt w:val="bullet"/>
      <w:lvlText w:val=""/>
      <w:lvlJc w:val="left"/>
      <w:pPr>
        <w:ind w:left="72" w:hanging="72"/>
      </w:pPr>
      <w:rPr>
        <w:rFonts w:ascii="Symbol" w:eastAsia="Times New Roman" w:hAnsi="Symbol" w:cs="Times New Roman" w:hint="default"/>
      </w:rPr>
    </w:lvl>
    <w:lvl w:ilvl="1" w:tplc="CE369C1E">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44C2C"/>
    <w:multiLevelType w:val="hybridMultilevel"/>
    <w:tmpl w:val="CC8223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0784F"/>
    <w:multiLevelType w:val="hybridMultilevel"/>
    <w:tmpl w:val="623061B0"/>
    <w:lvl w:ilvl="0" w:tplc="58DA30D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725A8"/>
    <w:multiLevelType w:val="hybridMultilevel"/>
    <w:tmpl w:val="7D907A40"/>
    <w:lvl w:ilvl="0" w:tplc="906E3B6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D376D"/>
    <w:multiLevelType w:val="hybridMultilevel"/>
    <w:tmpl w:val="491E589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A58AE"/>
    <w:multiLevelType w:val="hybridMultilevel"/>
    <w:tmpl w:val="BDD2CE36"/>
    <w:lvl w:ilvl="0" w:tplc="CE369C1E">
      <w:numFmt w:val="bullet"/>
      <w:lvlText w:val=""/>
      <w:lvlJc w:val="left"/>
      <w:pPr>
        <w:ind w:left="1038" w:hanging="360"/>
      </w:pPr>
      <w:rPr>
        <w:rFonts w:ascii="Wingdings" w:eastAsia="Times New Roman" w:hAnsi="Wingdings" w:cs="Times New Roman"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10" w15:restartNumberingAfterBreak="0">
    <w:nsid w:val="300F69ED"/>
    <w:multiLevelType w:val="hybridMultilevel"/>
    <w:tmpl w:val="96167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15845"/>
    <w:multiLevelType w:val="hybridMultilevel"/>
    <w:tmpl w:val="1B74B8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840B3"/>
    <w:multiLevelType w:val="hybridMultilevel"/>
    <w:tmpl w:val="BBD2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E104F"/>
    <w:multiLevelType w:val="hybridMultilevel"/>
    <w:tmpl w:val="670493A6"/>
    <w:lvl w:ilvl="0" w:tplc="324296C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C6B82"/>
    <w:multiLevelType w:val="hybridMultilevel"/>
    <w:tmpl w:val="9FC4B4AE"/>
    <w:lvl w:ilvl="0" w:tplc="F9BAF240">
      <w:start w:val="1"/>
      <w:numFmt w:val="decimal"/>
      <w:lvlText w:val="%1."/>
      <w:lvlJc w:val="left"/>
      <w:pPr>
        <w:ind w:left="360" w:hanging="360"/>
      </w:pPr>
      <w:rPr>
        <w:rFonts w:ascii="Garamond" w:eastAsia="Times New Roman" w:hAnsi="Garamond"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066692"/>
    <w:multiLevelType w:val="hybridMultilevel"/>
    <w:tmpl w:val="CBF27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14"/>
  </w:num>
  <w:num w:numId="4">
    <w:abstractNumId w:val="10"/>
  </w:num>
  <w:num w:numId="5">
    <w:abstractNumId w:val="15"/>
  </w:num>
  <w:num w:numId="6">
    <w:abstractNumId w:val="4"/>
  </w:num>
  <w:num w:numId="7">
    <w:abstractNumId w:val="9"/>
  </w:num>
  <w:num w:numId="8">
    <w:abstractNumId w:val="3"/>
  </w:num>
  <w:num w:numId="9">
    <w:abstractNumId w:val="5"/>
  </w:num>
  <w:num w:numId="10">
    <w:abstractNumId w:val="13"/>
  </w:num>
  <w:num w:numId="11">
    <w:abstractNumId w:val="2"/>
  </w:num>
  <w:num w:numId="12">
    <w:abstractNumId w:val="6"/>
  </w:num>
  <w:num w:numId="13">
    <w:abstractNumId w:val="0"/>
  </w:num>
  <w:num w:numId="14">
    <w:abstractNumId w:val="1"/>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00D"/>
    <w:rsid w:val="00004A86"/>
    <w:rsid w:val="00013A11"/>
    <w:rsid w:val="0001519D"/>
    <w:rsid w:val="00017D5E"/>
    <w:rsid w:val="00020035"/>
    <w:rsid w:val="00064265"/>
    <w:rsid w:val="000E7C96"/>
    <w:rsid w:val="000F7C37"/>
    <w:rsid w:val="001030C0"/>
    <w:rsid w:val="00113809"/>
    <w:rsid w:val="00165D55"/>
    <w:rsid w:val="00174F21"/>
    <w:rsid w:val="001A2260"/>
    <w:rsid w:val="001C0709"/>
    <w:rsid w:val="001F5725"/>
    <w:rsid w:val="002978F7"/>
    <w:rsid w:val="002B07B9"/>
    <w:rsid w:val="002C4ED1"/>
    <w:rsid w:val="00337BFB"/>
    <w:rsid w:val="00380F88"/>
    <w:rsid w:val="0039072E"/>
    <w:rsid w:val="003B168F"/>
    <w:rsid w:val="003E2837"/>
    <w:rsid w:val="003E6554"/>
    <w:rsid w:val="003F2C9D"/>
    <w:rsid w:val="00405848"/>
    <w:rsid w:val="004274A1"/>
    <w:rsid w:val="00453E8D"/>
    <w:rsid w:val="00511461"/>
    <w:rsid w:val="00596AE4"/>
    <w:rsid w:val="005A11A9"/>
    <w:rsid w:val="005A4280"/>
    <w:rsid w:val="005F5355"/>
    <w:rsid w:val="00645B16"/>
    <w:rsid w:val="006A5201"/>
    <w:rsid w:val="006C291C"/>
    <w:rsid w:val="006D5AB8"/>
    <w:rsid w:val="0072713F"/>
    <w:rsid w:val="00742FE5"/>
    <w:rsid w:val="00760693"/>
    <w:rsid w:val="00770A31"/>
    <w:rsid w:val="00774F8D"/>
    <w:rsid w:val="007A3211"/>
    <w:rsid w:val="007C2DD6"/>
    <w:rsid w:val="007D65B8"/>
    <w:rsid w:val="007F630D"/>
    <w:rsid w:val="007F6C75"/>
    <w:rsid w:val="00816B54"/>
    <w:rsid w:val="00827DFF"/>
    <w:rsid w:val="00830494"/>
    <w:rsid w:val="00862CED"/>
    <w:rsid w:val="00883811"/>
    <w:rsid w:val="00890E90"/>
    <w:rsid w:val="008B3372"/>
    <w:rsid w:val="008C51F5"/>
    <w:rsid w:val="009E2159"/>
    <w:rsid w:val="009E256E"/>
    <w:rsid w:val="00A44D6D"/>
    <w:rsid w:val="00A733C4"/>
    <w:rsid w:val="00A954A6"/>
    <w:rsid w:val="00AB562F"/>
    <w:rsid w:val="00AC6B62"/>
    <w:rsid w:val="00B1550F"/>
    <w:rsid w:val="00B64BB7"/>
    <w:rsid w:val="00BD26F3"/>
    <w:rsid w:val="00BD70A5"/>
    <w:rsid w:val="00C158B0"/>
    <w:rsid w:val="00C2335D"/>
    <w:rsid w:val="00C350D0"/>
    <w:rsid w:val="00CB4A20"/>
    <w:rsid w:val="00D86463"/>
    <w:rsid w:val="00DF5565"/>
    <w:rsid w:val="00E10CB0"/>
    <w:rsid w:val="00E5200D"/>
    <w:rsid w:val="00F004C5"/>
    <w:rsid w:val="00F3644E"/>
    <w:rsid w:val="00FB7CC6"/>
    <w:rsid w:val="00FC7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D5907461-62B9-492C-AC51-EEE483AC4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0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C51F5"/>
    <w:pPr>
      <w:keepNext/>
      <w:outlineLvl w:val="0"/>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200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00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B562F"/>
    <w:pPr>
      <w:tabs>
        <w:tab w:val="center" w:pos="4680"/>
        <w:tab w:val="right" w:pos="9360"/>
      </w:tabs>
    </w:pPr>
  </w:style>
  <w:style w:type="character" w:customStyle="1" w:styleId="HeaderChar">
    <w:name w:val="Header Char"/>
    <w:basedOn w:val="DefaultParagraphFont"/>
    <w:link w:val="Header"/>
    <w:uiPriority w:val="99"/>
    <w:rsid w:val="00AB562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562F"/>
    <w:pPr>
      <w:tabs>
        <w:tab w:val="center" w:pos="4680"/>
        <w:tab w:val="right" w:pos="9360"/>
      </w:tabs>
    </w:pPr>
  </w:style>
  <w:style w:type="character" w:customStyle="1" w:styleId="FooterChar">
    <w:name w:val="Footer Char"/>
    <w:basedOn w:val="DefaultParagraphFont"/>
    <w:link w:val="Footer"/>
    <w:uiPriority w:val="99"/>
    <w:rsid w:val="00AB562F"/>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C51F5"/>
    <w:rPr>
      <w:rFonts w:ascii="Garamond" w:eastAsia="Times New Roman" w:hAnsi="Garamond"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242107">
      <w:bodyDiv w:val="1"/>
      <w:marLeft w:val="0"/>
      <w:marRight w:val="0"/>
      <w:marTop w:val="0"/>
      <w:marBottom w:val="0"/>
      <w:divBdr>
        <w:top w:val="none" w:sz="0" w:space="0" w:color="auto"/>
        <w:left w:val="none" w:sz="0" w:space="0" w:color="auto"/>
        <w:bottom w:val="none" w:sz="0" w:space="0" w:color="auto"/>
        <w:right w:val="none" w:sz="0" w:space="0" w:color="auto"/>
      </w:divBdr>
    </w:div>
    <w:div w:id="516768818">
      <w:bodyDiv w:val="1"/>
      <w:marLeft w:val="0"/>
      <w:marRight w:val="0"/>
      <w:marTop w:val="0"/>
      <w:marBottom w:val="0"/>
      <w:divBdr>
        <w:top w:val="none" w:sz="0" w:space="0" w:color="auto"/>
        <w:left w:val="none" w:sz="0" w:space="0" w:color="auto"/>
        <w:bottom w:val="none" w:sz="0" w:space="0" w:color="auto"/>
        <w:right w:val="none" w:sz="0" w:space="0" w:color="auto"/>
      </w:divBdr>
    </w:div>
    <w:div w:id="687606770">
      <w:bodyDiv w:val="1"/>
      <w:marLeft w:val="0"/>
      <w:marRight w:val="0"/>
      <w:marTop w:val="0"/>
      <w:marBottom w:val="0"/>
      <w:divBdr>
        <w:top w:val="none" w:sz="0" w:space="0" w:color="auto"/>
        <w:left w:val="none" w:sz="0" w:space="0" w:color="auto"/>
        <w:bottom w:val="none" w:sz="0" w:space="0" w:color="auto"/>
        <w:right w:val="none" w:sz="0" w:space="0" w:color="auto"/>
      </w:divBdr>
    </w:div>
    <w:div w:id="1173765193">
      <w:bodyDiv w:val="1"/>
      <w:marLeft w:val="0"/>
      <w:marRight w:val="0"/>
      <w:marTop w:val="0"/>
      <w:marBottom w:val="0"/>
      <w:divBdr>
        <w:top w:val="none" w:sz="0" w:space="0" w:color="auto"/>
        <w:left w:val="none" w:sz="0" w:space="0" w:color="auto"/>
        <w:bottom w:val="none" w:sz="0" w:space="0" w:color="auto"/>
        <w:right w:val="none" w:sz="0" w:space="0" w:color="auto"/>
      </w:divBdr>
    </w:div>
    <w:div w:id="1379237575">
      <w:bodyDiv w:val="1"/>
      <w:marLeft w:val="0"/>
      <w:marRight w:val="0"/>
      <w:marTop w:val="0"/>
      <w:marBottom w:val="0"/>
      <w:divBdr>
        <w:top w:val="none" w:sz="0" w:space="0" w:color="auto"/>
        <w:left w:val="none" w:sz="0" w:space="0" w:color="auto"/>
        <w:bottom w:val="none" w:sz="0" w:space="0" w:color="auto"/>
        <w:right w:val="none" w:sz="0" w:space="0" w:color="auto"/>
      </w:divBdr>
    </w:div>
    <w:div w:id="1785222015">
      <w:bodyDiv w:val="1"/>
      <w:marLeft w:val="0"/>
      <w:marRight w:val="0"/>
      <w:marTop w:val="0"/>
      <w:marBottom w:val="0"/>
      <w:divBdr>
        <w:top w:val="none" w:sz="0" w:space="0" w:color="auto"/>
        <w:left w:val="none" w:sz="0" w:space="0" w:color="auto"/>
        <w:bottom w:val="none" w:sz="0" w:space="0" w:color="auto"/>
        <w:right w:val="none" w:sz="0" w:space="0" w:color="auto"/>
      </w:divBdr>
    </w:div>
    <w:div w:id="193046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Fodor, Julie (jfodor@uidaho.edu)</dc:creator>
  <cp:lastModifiedBy>Fodor, Julie (jfodor@uidaho.edu)</cp:lastModifiedBy>
  <cp:revision>6</cp:revision>
  <cp:lastPrinted>2014-07-23T18:00:00Z</cp:lastPrinted>
  <dcterms:created xsi:type="dcterms:W3CDTF">2015-07-24T22:54:00Z</dcterms:created>
  <dcterms:modified xsi:type="dcterms:W3CDTF">2015-07-28T21:21:00Z</dcterms:modified>
</cp:coreProperties>
</file>